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and Construction Industry (Security of Payment)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p>
            <w:pPr>
              <w:pStyle w:val="Table01Row"/>
            </w:pPr>
            <w:r>
              <w:t>2021/004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Pt. 1 (but only Div. 1): 25 Jun 2021 (see s. 2(a));</w:t>
            </w:r>
          </w:p>
          <w:p>
            <w:pPr>
              <w:pStyle w:val="Table01Row"/>
            </w:pPr>
            <w:r>
              <w:rPr/>
              <w:t xml:space="preserve">Pt. 5 (only Div. 1 hdg &amp; s. 98): 26 Jun 2021 (see s. 2(b));</w:t>
            </w:r>
          </w:p>
          <w:p>
            <w:pPr>
              <w:pStyle w:val="Table01Row"/>
            </w:pPr>
            <w:r>
              <w:rPr/>
              <w:t xml:space="preserve">Pt. 1 Div. 2 &amp; 3, Pt. 2, Pt. 3 (other than s. 57, 59‑61 &amp; 65), s. 88‑97, Pt. 5 Div. 2, Pt. 6 (other than s. 118) &amp; Pt. 7 (other than s. 123, 124 &amp; Div. 2): 1 Aug 2022 (see s. 2(c) and SL 2022/78 cl. 2(2)(a));</w:t>
            </w:r>
          </w:p>
          <w:p>
            <w:pPr>
              <w:pStyle w:val="Table01Row"/>
            </w:pPr>
            <w:r>
              <w:rPr/>
              <w:t xml:space="preserve">s. 57 &amp; 65, Pt. 4 (other than s. 87), s. 118, 123 &amp; 124 &amp; Pt. 7 Div. 2: 1 Feb 2023 (see s. 2(c) and SL 2022/78 cl. 2(2)(b));</w:t>
            </w:r>
          </w:p>
          <w:p>
            <w:pPr>
              <w:pStyle w:val="Table01Row"/>
            </w:pPr>
            <w:r>
              <w:rPr/>
              <w:t xml:space="preserve">s. 59‑61 &amp; 87: 1 Feb 2024 (see s. 2(c) and SL 2022/78 cl. 2(2)(c))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2(f)(i))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and Construction Industry (Security of Payment) Act 2021</vt:lpwstr>
  </property>
  <property pid="3" name="IDAct" fmtid="{D5CDD505-2E9C-101B-9397-08002B2CF9AE}">
    <vt:lpwstr>147300</vt:lpwstr>
  </property>
  <property pid="4" name="ChangedDate" fmtid="{D5CDD505-2E9C-101B-9397-08002B2CF9AE}">
    <vt:lpwstr>20230129081742</vt:lpwstr>
  </property>
</Properties>
</file>