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Arts and Culture Trust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Pt. 1 other than s. 4 &amp; 5: 9 Sep 2021 (see s. 2(a));</w:t>
            </w:r>
          </w:p>
          <w:p>
            <w:pPr>
              <w:pStyle w:val="Table01Row"/>
            </w:pPr>
            <w:r>
              <w:rPr/>
              <w:t xml:space="preserve">Act other than s. 1‑3 &amp; 6: 1 Jul 2022 (see s. 2(b) and SL 2022/77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Arts and Culture Trust Act 2021</vt:lpwstr>
  </property>
  <property pid="3" name="IDAct" fmtid="{D5CDD505-2E9C-101B-9397-08002B2CF9AE}">
    <vt:lpwstr>147311</vt:lpwstr>
  </property>
  <property pid="4" name="ChangedDate" fmtid="{D5CDD505-2E9C-101B-9397-08002B2CF9AE}">
    <vt:lpwstr>20220623110448</vt:lpwstr>
  </property>
</Properties>
</file>