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Wittenoom Closure Act 2022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Wittenoom Closure Act 2022</w:t>
            </w:r>
          </w:p>
        </w:tc>
        <w:tc>
          <w:p>
            <w:pPr>
              <w:pStyle w:val="Table01Row"/>
            </w:pPr>
            <w:r>
              <w:t>2022/006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Pt. 1: 29 Mar 2022 (see s. 2(a));</w:t>
            </w:r>
          </w:p>
          <w:p>
            <w:pPr>
              <w:pStyle w:val="Table01Row"/>
            </w:pPr>
            <w:r>
              <w:rPr/>
              <w:t xml:space="preserve">Act other than Pt. 1: 30 Mar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13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Wittenoom Closure Act 2022</vt:lpwstr>
  </property>
  <property pid="3" name="IDAct" fmtid="{D5CDD505-2E9C-101B-9397-08002B2CF9AE}">
    <vt:lpwstr>147338</vt:lpwstr>
  </property>
  <property pid="4" name="ChangedDate" fmtid="{D5CDD505-2E9C-101B-9397-08002B2CF9AE}">
    <vt:lpwstr>20230127165751</vt:lpwstr>
  </property>
</Properties>
</file>