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Medicines and Poisons (Validation) Act 2022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Health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Medicines and Poisons (Validation) Act 2022</w:t>
            </w:r>
          </w:p>
        </w:tc>
        <w:tc>
          <w:p>
            <w:pPr>
              <w:pStyle w:val="Table01Row"/>
            </w:pPr>
            <w:r>
              <w:t>2022/046</w:t>
            </w:r>
          </w:p>
        </w:tc>
        <w:tc>
          <w:p>
            <w:pPr>
              <w:pStyle w:val="Table01Row"/>
            </w:pPr>
            <w:r>
              <w:t>1 Dec 2022</w:t>
            </w:r>
          </w:p>
        </w:tc>
        <w:tc>
          <w:p>
            <w:pPr>
              <w:pStyle w:val="Table01Row"/>
            </w:pPr>
            <w:r>
              <w:rPr/>
              <w:t xml:space="preserve">1 Dec 2022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Medicines and Poisons (Validation) Act 2022</vt:lpwstr>
  </property>
  <property pid="3" name="IDAct" fmtid="{D5CDD505-2E9C-101B-9397-08002B2CF9AE}">
    <vt:lpwstr>147377</vt:lpwstr>
  </property>
  <property pid="4" name="ChangedDate" fmtid="{D5CDD505-2E9C-101B-9397-08002B2CF9AE}">
    <vt:lpwstr>20240108103041</vt:lpwstr>
  </property>
</Properties>
</file>