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Legal Profession Uniform Law (WA)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(WA)</w:t>
            </w:r>
          </w:p>
        </w:tc>
        <w:tc>
          <w:p>
            <w:pPr>
              <w:pStyle w:val="Table01Row"/>
            </w:pPr>
            <w:r>
              <w:t>Legal Profession Uniform Law Application Act 2022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 Jul 2022 (see WA Act No. 2022/9 s. 2(b) and 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Legal Profession Uniform Law (WA)</vt:lpwstr>
  </property>
  <property pid="3" name="IDAct" fmtid="{D5CDD505-2E9C-101B-9397-08002B2CF9AE}">
    <vt:lpwstr>147415</vt:lpwstr>
  </property>
  <property pid="4" name="ChangedDate" fmtid="{D5CDD505-2E9C-101B-9397-08002B2CF9AE}">
    <vt:lpwstr>20240307170148</vt:lpwstr>
  </property>
</Properties>
</file>