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T</w:t>
      </w:r>
    </w:p>
    <w:p>
      <w:pPr>
        <w:pStyle w:val="IActName"/>
      </w:pPr>
      <w:r>
        <w:t>The Commonwealth Oil Refineries, Limited (Private), Act 1940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The Commonwealth Oil Refineries, Limited (Private), Act 1940</w:t>
            </w:r>
          </w:p>
        </w:tc>
        <w:tc>
          <w:p>
            <w:pPr>
              <w:pStyle w:val="Table01Row"/>
            </w:pPr>
            <w:r>
              <w:t>1940 (4 &amp; 5 Geo. VI Prvt Act)</w:t>
            </w:r>
          </w:p>
        </w:tc>
        <w:tc>
          <w:p>
            <w:pPr>
              <w:pStyle w:val="Table01Row"/>
            </w:pPr>
            <w:r>
              <w:t>30 Dec 1940</w:t>
            </w:r>
          </w:p>
        </w:tc>
        <w:tc>
          <w:p>
            <w:pPr>
              <w:pStyle w:val="Table01Row"/>
            </w:pPr>
            <w:r>
              <w:rPr/>
              <w:t xml:space="preserve">30 Dec 1940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Port Authorities (Consequential Provisions) Act 1999</w:t>
            </w:r>
            <w:r>
              <w:t xml:space="preserve"> </w:t>
              <w:t>s. 21</w:t>
            </w:r>
          </w:p>
        </w:tc>
        <w:tc>
          <w:p>
            <w:pPr>
              <w:pStyle w:val="Table01Row"/>
            </w:pPr>
            <w:r>
              <w:t>1999/005</w:t>
            </w:r>
          </w:p>
        </w:tc>
        <w:tc>
          <w:p>
            <w:pPr>
              <w:pStyle w:val="Table01Row"/>
            </w:pPr>
            <w:r>
              <w:t>13 Apr 1999</w:t>
            </w:r>
          </w:p>
        </w:tc>
        <w:tc>
          <w:p>
            <w:pPr>
              <w:pStyle w:val="Table01Row"/>
            </w:pPr>
            <w:r>
              <w:rPr/>
              <w:t xml:space="preserve">14 Aug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1999 p. 3823)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117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 Apr 2005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The Commonwealth Oil Refineries, Limited (Private), Act 1940</vt:lpwstr>
  </property>
  <property pid="3" name="IDAct" fmtid="{D5CDD505-2E9C-101B-9397-08002B2CF9AE}">
    <vt:lpwstr>156</vt:lpwstr>
  </property>
  <property pid="4" name="ChangedDate" fmtid="{D5CDD505-2E9C-101B-9397-08002B2CF9AE}">
    <vt:lpwstr>20230609154945</vt:lpwstr>
  </property>
</Properties>
</file>