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Competition Policy Reform (Taxing) Act 1996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Competition Policy Reform (Taxing) Act 1996</w:t>
            </w:r>
          </w:p>
        </w:tc>
        <w:tc>
          <w:p>
            <w:pPr>
              <w:pStyle w:val="Table01Row"/>
            </w:pPr>
            <w:r>
              <w:t>1996/051</w:t>
            </w:r>
          </w:p>
        </w:tc>
        <w:tc>
          <w:p>
            <w:pPr>
              <w:pStyle w:val="Table01Row"/>
            </w:pPr>
            <w:r>
              <w:t>31 Oct 1996</w:t>
            </w:r>
          </w:p>
        </w:tc>
        <w:tc>
          <w:p>
            <w:pPr>
              <w:pStyle w:val="Table01Row"/>
            </w:pPr>
            <w:r>
              <w:rPr/>
              <w:t xml:space="preserve">21 Jul 1996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5 Dec 2003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Competition Policy Reform (Taxing) Act 1996</vt:lpwstr>
  </property>
  <property pid="3" name="IDAct" fmtid="{D5CDD505-2E9C-101B-9397-08002B2CF9AE}">
    <vt:lpwstr>168</vt:lpwstr>
  </property>
  <property pid="4" name="ChangedDate" fmtid="{D5CDD505-2E9C-101B-9397-08002B2CF9AE}">
    <vt:lpwstr>20230129081742</vt:lpwstr>
  </property>
</Properties>
</file>