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Coogee‑Kwinana Railway Act 1952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Coogee‑Kwinana Railway Act 1952</w:t>
            </w:r>
          </w:p>
        </w:tc>
        <w:tc>
          <w:p>
            <w:pPr>
              <w:pStyle w:val="Table01Row"/>
            </w:pPr>
            <w:r>
              <w:t>1952/024 (1 Eliz. II No. 24)</w:t>
            </w:r>
          </w:p>
        </w:tc>
        <w:tc>
          <w:p>
            <w:pPr>
              <w:pStyle w:val="Table01Row"/>
            </w:pPr>
            <w:r>
              <w:t>19 Nov 1952</w:t>
            </w:r>
          </w:p>
        </w:tc>
        <w:tc>
          <w:p>
            <w:pPr>
              <w:pStyle w:val="Table01Row"/>
            </w:pPr>
            <w:r>
              <w:rPr/>
              <w:t xml:space="preserve">19 Nov 1952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Jun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Coogee-Kwinana Railway Act 1952</vt:lpwstr>
  </property>
  <property pid="3" name="IDAct" fmtid="{D5CDD505-2E9C-101B-9397-08002B2CF9AE}">
    <vt:lpwstr>181</vt:lpwstr>
  </property>
  <property pid="4" name="ChangedDate" fmtid="{D5CDD505-2E9C-101B-9397-08002B2CF9AE}">
    <vt:lpwstr>20230613134304</vt:lpwstr>
  </property>
</Properties>
</file>