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Weapons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Weapons Act 1999</w:t>
            </w:r>
          </w:p>
        </w:tc>
        <w:tc>
          <w:p>
            <w:pPr>
              <w:pStyle w:val="Table01Row"/>
            </w:pPr>
            <w:r>
              <w:t>1999/018</w:t>
            </w:r>
          </w:p>
        </w:tc>
        <w:tc>
          <w:p>
            <w:pPr>
              <w:pStyle w:val="Table01Row"/>
            </w:pPr>
            <w:r>
              <w:t>16 Jun 1999</w:t>
            </w:r>
          </w:p>
        </w:tc>
        <w:tc>
          <w:p>
            <w:pPr>
              <w:pStyle w:val="Table01Row"/>
            </w:pPr>
            <w:r>
              <w:rPr/>
              <w:t xml:space="preserve">s. 1 &amp; 2: 16 Jun 1999;</w:t>
            </w:r>
          </w:p>
          <w:p>
            <w:pPr>
              <w:pStyle w:val="Table01Row"/>
            </w:pPr>
            <w:r>
              <w:rPr/>
              <w:t xml:space="preserve">Act other than s. 1, 2, 6‑8 and item 2 of Sch. 1: 1 Sep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1999 p. 4235);</w:t>
            </w:r>
          </w:p>
          <w:p>
            <w:pPr>
              <w:pStyle w:val="Table01Row"/>
            </w:pPr>
            <w:r>
              <w:rPr/>
              <w:t xml:space="preserve">s. 6‑8 and it. 2 of Sch. 1: 1 Mar 2000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209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(Weapons)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2009/034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Pt. 3 other than s. 8: 4 Dec 2009 (see s. 2(c));</w:t>
            </w:r>
          </w:p>
          <w:p>
            <w:pPr>
              <w:pStyle w:val="Table01Row"/>
            </w:pPr>
            <w:r>
              <w:rPr/>
              <w:t xml:space="preserve">s. 8: 31 Dec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Weapons Act 1999</vt:lpwstr>
  </property>
  <property pid="3" name="IDAct" fmtid="{D5CDD505-2E9C-101B-9397-08002B2CF9AE}">
    <vt:lpwstr>1942</vt:lpwstr>
  </property>
  <property pid="4" name="ChangedDate" fmtid="{D5CDD505-2E9C-101B-9397-08002B2CF9AE}">
    <vt:lpwstr>20230129083134</vt:lpwstr>
  </property>
</Properties>
</file>