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Court Security and Custodial Services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Act 1999</w:t>
            </w:r>
          </w:p>
        </w:tc>
        <w:tc>
          <w:p>
            <w:pPr>
              <w:pStyle w:val="Table01Row"/>
            </w:pPr>
            <w:r>
              <w:t>1999/046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1999;</w:t>
            </w:r>
          </w:p>
          <w:p>
            <w:pPr>
              <w:pStyle w:val="Table01Row"/>
            </w:pPr>
            <w:r>
              <w:rPr/>
              <w:t xml:space="preserve">Act other than s. 1 &amp; 2 &amp; Pt. 5: 18 Dec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6175);</w:t>
            </w:r>
          </w:p>
          <w:p>
            <w:pPr>
              <w:pStyle w:val="Table01Row"/>
            </w:pPr>
            <w:r>
              <w:rPr/>
              <w:t xml:space="preserve">Pt. 5: 18 Jun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2000/050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2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Sep 2005 (not including 2005/005)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5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38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12 &amp; 23(2)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12: 1 Apr 2008 (see s. 2(1));</w:t>
            </w:r>
          </w:p>
          <w:p>
            <w:pPr>
              <w:pStyle w:val="Table01Row"/>
            </w:pPr>
            <w:r>
              <w:rPr/>
              <w:t xml:space="preserve">s. 23(2):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12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Apr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13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6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14 Aug 2015 (not including 2014/025)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5 &amp; s. 410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Court Security and Custodial Services Act 1999</vt:lpwstr>
  </property>
  <property pid="3" name="IDAct" fmtid="{D5CDD505-2E9C-101B-9397-08002B2CF9AE}">
    <vt:lpwstr>1970</vt:lpwstr>
  </property>
  <property pid="4" name="ChangedDate" fmtid="{D5CDD505-2E9C-101B-9397-08002B2CF9AE}">
    <vt:lpwstr>20230613134402</vt:lpwstr>
  </property>
</Properties>
</file>