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G</w:t>
      </w:r>
    </w:p>
    <w:p>
      <w:pPr>
        <w:pStyle w:val="IActName"/>
      </w:pPr>
      <w:r>
        <w:t>Gaming and Wagering Commission (Continuing Lotteries Levy) Act 2000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Gaming Commission (Continuing Lotteries Levy) Act 2000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Racing and Gaming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Gaming and Wagering Commission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Gaming Commission (Continuing Lotteries Levy) Act 2000</w:t>
            </w:r>
          </w:p>
        </w:tc>
        <w:tc>
          <w:p>
            <w:pPr>
              <w:pStyle w:val="Table01Row"/>
            </w:pPr>
            <w:r>
              <w:t>2000/005</w:t>
            </w:r>
          </w:p>
        </w:tc>
        <w:tc>
          <w:p>
            <w:pPr>
              <w:pStyle w:val="Table01Row"/>
            </w:pPr>
            <w:r>
              <w:t>11 Apr 2000</w:t>
            </w:r>
          </w:p>
        </w:tc>
        <w:tc>
          <w:p>
            <w:pPr>
              <w:pStyle w:val="Table01Row"/>
            </w:pPr>
            <w:r>
              <w:rPr/>
              <w:t xml:space="preserve">1 Jul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Jun 2000 p. 3191)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</w:t>
              <w:t>s. 172</w:t>
            </w:r>
          </w:p>
        </w:tc>
        <w:tc>
          <w:p>
            <w:pPr>
              <w:pStyle w:val="Table01Row"/>
            </w:pPr>
            <w:r>
              <w:t>2003/035</w:t>
            </w:r>
          </w:p>
        </w:tc>
        <w:tc>
          <w:p>
            <w:pPr>
              <w:pStyle w:val="Table01Row"/>
            </w:pPr>
            <w:r>
              <w:t>26 Jun 2003</w:t>
            </w:r>
          </w:p>
        </w:tc>
        <w:tc>
          <w:p>
            <w:pPr>
              <w:pStyle w:val="Table01Row"/>
            </w:pPr>
            <w:r>
              <w:rPr/>
              <w:t xml:space="preserve">30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Jan 2004 p. 397)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19 Jan 2007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Gaming and Wagering Commission (Continuing Lotteries Levy) Act 2000</vt:lpwstr>
  </property>
  <property pid="3" name="IDAct" fmtid="{D5CDD505-2E9C-101B-9397-08002B2CF9AE}">
    <vt:lpwstr>1989</vt:lpwstr>
  </property>
  <property pid="4" name="ChangedDate" fmtid="{D5CDD505-2E9C-101B-9397-08002B2CF9AE}">
    <vt:lpwstr>20240105111456</vt:lpwstr>
  </property>
</Properties>
</file>