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Investigation (Extra‑territorial Offences) Act 1987</w:t>
      </w:r>
    </w:p>
    <w:p>
      <w:pPr>
        <w:pStyle w:val="Table01Note"/>
      </w:pPr>
      <w:r>
        <w:rPr/>
        <w:t xml:space="preserve">Note: In order to give effect to the Cross‑border Justice Act 2008, the Criminal Investigation (Extra‑territorial Offences) Act 1987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(Extra‑territorial Offences) Act 1987</w:t>
            </w:r>
          </w:p>
        </w:tc>
        <w:tc>
          <w:p>
            <w:pPr>
              <w:pStyle w:val="Table01Row"/>
            </w:pPr>
            <w:r>
              <w:t>1987/067</w:t>
            </w:r>
          </w:p>
        </w:tc>
        <w:tc>
          <w:p>
            <w:pPr>
              <w:pStyle w:val="Table01Row"/>
            </w:pPr>
            <w:r>
              <w:t>22 Nov 1987</w:t>
            </w:r>
          </w:p>
        </w:tc>
        <w:tc>
          <w:p>
            <w:pPr>
              <w:pStyle w:val="Table01Row"/>
            </w:pPr>
            <w:r>
              <w:rPr/>
              <w:t xml:space="preserve">s. 1 &amp; 2: 22 Nov 1987;</w:t>
            </w:r>
          </w:p>
          <w:p>
            <w:pPr>
              <w:pStyle w:val="Table01Row"/>
            </w:pPr>
            <w:r>
              <w:rPr/>
              <w:t xml:space="preserve">Act other than s. 1 &amp; 2: 5 May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May 1989 p. 1367)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Aug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2012/009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26 Sep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2012 p. 4499)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Investigation (Extra-territorial Offences) Act 1987</vt:lpwstr>
  </property>
  <property pid="3" name="IDAct" fmtid="{D5CDD505-2E9C-101B-9397-08002B2CF9AE}">
    <vt:lpwstr>198</vt:lpwstr>
  </property>
  <property pid="4" name="ChangedDate" fmtid="{D5CDD505-2E9C-101B-9397-08002B2CF9AE}">
    <vt:lpwstr>20210421010821</vt:lpwstr>
  </property>
</Properties>
</file>