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Forest Products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Forestry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Forest Products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Forest Products Act 2000</w:t>
            </w:r>
          </w:p>
        </w:tc>
        <w:tc>
          <w:p>
            <w:pPr>
              <w:pStyle w:val="Table01Row"/>
            </w:pPr>
            <w:r>
              <w:t>2000/034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s. 1 &amp; 2: 10 Oct 2000;</w:t>
            </w:r>
          </w:p>
          <w:p>
            <w:pPr>
              <w:pStyle w:val="Table01Row"/>
            </w:pPr>
            <w:r>
              <w:rPr/>
              <w:t xml:space="preserve">Act other than s. 1 &amp; 2: 16 Nov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2000 p. 6275)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20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21(3)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Forest Products Amendment Act 2004</w:t>
            </w:r>
          </w:p>
        </w:tc>
        <w:tc>
          <w:p>
            <w:pPr>
              <w:pStyle w:val="Table01Row"/>
            </w:pPr>
            <w:r>
              <w:t>2004/050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12 Nov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Jul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2 Div. 4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5(1), 10 &amp; Sch. 1 cl. 70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Nov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2015/028</w:t>
            </w:r>
          </w:p>
        </w:tc>
        <w:tc>
          <w:p>
            <w:pPr>
              <w:pStyle w:val="Table01Row"/>
            </w:pPr>
            <w:r>
              <w:t>19 Oct 2015</w:t>
            </w:r>
          </w:p>
        </w:tc>
        <w:tc>
          <w:p>
            <w:pPr>
              <w:pStyle w:val="Table01Row"/>
            </w:pPr>
            <w:r>
              <w:rPr/>
              <w:t xml:space="preserve">7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2016 p. 1379‑80)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317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Forest Products Amendment Act 2022</w:t>
            </w:r>
          </w:p>
        </w:tc>
        <w:tc>
          <w:p>
            <w:pPr>
              <w:pStyle w:val="Table01Row"/>
            </w:pPr>
            <w:r>
              <w:t>2022/020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s. 1 &amp; 2: 24 Jun 2022 (see s. 2(a));</w:t>
            </w:r>
          </w:p>
          <w:p>
            <w:pPr>
              <w:pStyle w:val="Table01Row"/>
            </w:pPr>
            <w:r>
              <w:rPr/>
              <w:t xml:space="preserve">Act other than s. 1 &amp; 2: 16 Jul 2022 (see s. 2(b) and SL 2022/135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Forest Products Act 2000</vt:lpwstr>
  </property>
  <property pid="3" name="IDAct" fmtid="{D5CDD505-2E9C-101B-9397-08002B2CF9AE}">
    <vt:lpwstr>2026</vt:lpwstr>
  </property>
  <property pid="4" name="ChangedDate" fmtid="{D5CDD505-2E9C-101B-9397-08002B2CF9AE}">
    <vt:lpwstr>20230127165903</vt:lpwstr>
  </property>
</Properties>
</file>