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Offenders (Legal Action)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Offenders (Legal Action) Act 2000</w:t>
            </w:r>
          </w:p>
        </w:tc>
        <w:tc>
          <w:p>
            <w:pPr>
              <w:pStyle w:val="Table01Row"/>
            </w:pPr>
            <w:r>
              <w:t>2000/046</w:t>
            </w:r>
          </w:p>
        </w:tc>
        <w:tc>
          <w:p>
            <w:pPr>
              <w:pStyle w:val="Table01Row"/>
            </w:pPr>
            <w:r>
              <w:t>17 Nov 2000</w:t>
            </w:r>
          </w:p>
        </w:tc>
        <w:tc>
          <w:p>
            <w:pPr>
              <w:pStyle w:val="Table01Row"/>
            </w:pPr>
            <w:r>
              <w:rPr/>
              <w:t xml:space="preserve">17 Nov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2003/077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Offenders (Legal Action) Act 2000</vt:lpwstr>
  </property>
  <property pid="3" name="IDAct" fmtid="{D5CDD505-2E9C-101B-9397-08002B2CF9AE}">
    <vt:lpwstr>2033</vt:lpwstr>
  </property>
  <property pid="4" name="ChangedDate" fmtid="{D5CDD505-2E9C-101B-9397-08002B2CF9AE}">
    <vt:lpwstr>20210421010822</vt:lpwstr>
  </property>
</Properties>
</file>