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S</w:t>
      </w:r>
    </w:p>
    <w:p>
      <w:pPr>
        <w:pStyle w:val="IActName"/>
      </w:pPr>
      <w:r>
        <w:t>State Records Act 2000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Culture and the Arts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Records Act 2000</w:t>
            </w:r>
          </w:p>
        </w:tc>
        <w:tc>
          <w:p>
            <w:pPr>
              <w:pStyle w:val="Table01Row"/>
            </w:pPr>
            <w:r>
              <w:t>2000/052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s. 1 &amp; 2: 28 Nov 2000;</w:t>
            </w:r>
          </w:p>
          <w:p>
            <w:pPr>
              <w:pStyle w:val="Table01Row"/>
            </w:pPr>
            <w:r>
              <w:rPr/>
              <w:t xml:space="preserve">s. 3‑10, Pt. 8 &amp; 9 &amp; s. 77 &amp; 82: 28 Jul 2001 (see s. 2 &amp; </w:t>
            </w:r>
            <w:r>
              <w:rPr>
                <w:i/>
              </w:rPr>
              <w:t xml:space="preserve">Gazette</w:t>
            </w:r>
            <w:r>
              <w:rPr/>
              <w:t xml:space="preserve"> 27 Jul 2001 p. 3797);</w:t>
            </w:r>
          </w:p>
          <w:p>
            <w:pPr>
              <w:pStyle w:val="Table01Row"/>
            </w:pPr>
            <w:r>
              <w:rPr/>
              <w:t xml:space="preserve">Pt. 2‑7 &amp; s. 76, 78‑81, 83 &amp; 84: 1 Dec 2001 (see s. 2 &amp; </w:t>
            </w:r>
            <w:r>
              <w:rPr>
                <w:i/>
              </w:rPr>
              <w:t xml:space="preserve">Gazette</w:t>
            </w:r>
            <w:r>
              <w:rPr/>
              <w:t xml:space="preserve"> 30 Nov 2001 p. 6067)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6 &amp; Sch. 1 cl. 159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85 &amp; 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6 Jan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Services Legislation Amendment and Repeal Act 2012</w:t>
            </w:r>
            <w:r>
              <w:t xml:space="preserve"> </w:t>
              <w:t>s. 230</w:t>
            </w:r>
          </w:p>
        </w:tc>
        <w:tc>
          <w:p>
            <w:pPr>
              <w:pStyle w:val="Table01Row"/>
            </w:pPr>
            <w:r>
              <w:t>2012/025</w:t>
            </w:r>
          </w:p>
        </w:tc>
        <w:tc>
          <w:p>
            <w:pPr>
              <w:pStyle w:val="Table01Row"/>
            </w:pPr>
            <w:r>
              <w:t>3 Sep 2012</w:t>
            </w:r>
          </w:p>
        </w:tc>
        <w:tc>
          <w:p>
            <w:pPr>
              <w:pStyle w:val="Table01Row"/>
            </w:pPr>
            <w:r>
              <w:rPr/>
              <w:t xml:space="preserve">s. 230(1) &amp; (2): 18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14 Nov 2013 p. 5028);</w:t>
            </w:r>
          </w:p>
          <w:p>
            <w:pPr>
              <w:pStyle w:val="Table01Row"/>
            </w:pPr>
            <w:r>
              <w:rPr/>
              <w:t xml:space="preserve">s. 230(3):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46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33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353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34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State Records Act 2000</vt:lpwstr>
  </property>
  <property pid="3" name="IDAct" fmtid="{D5CDD505-2E9C-101B-9397-08002B2CF9AE}">
    <vt:lpwstr>2037</vt:lpwstr>
  </property>
  <property pid="4" name="ChangedDate" fmtid="{D5CDD505-2E9C-101B-9397-08002B2CF9AE}">
    <vt:lpwstr>20220119162443</vt:lpwstr>
  </property>
</Properties>
</file>