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Protective Custody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Protective Custody Act 2000</w:t>
            </w:r>
          </w:p>
        </w:tc>
        <w:tc>
          <w:p>
            <w:pPr>
              <w:pStyle w:val="Table01Row"/>
            </w:pPr>
            <w:r>
              <w:t>2000/050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2000;</w:t>
            </w:r>
          </w:p>
          <w:p>
            <w:pPr>
              <w:pStyle w:val="Table01Row"/>
            </w:pPr>
            <w:r>
              <w:rPr/>
              <w:t xml:space="preserve">Act other than s. 1 &amp; 2: 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206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21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Jun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17 &amp; 23(7)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17: 1 Apr 2008 (see s. 2(1));</w:t>
            </w:r>
          </w:p>
          <w:p>
            <w:pPr>
              <w:pStyle w:val="Table01Row"/>
            </w:pPr>
            <w:r>
              <w:rPr/>
              <w:t xml:space="preserve">s. 23(7):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20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Protective Custody Act 2000</vt:lpwstr>
  </property>
  <property pid="3" name="IDAct" fmtid="{D5CDD505-2E9C-101B-9397-08002B2CF9AE}">
    <vt:lpwstr>2040</vt:lpwstr>
  </property>
  <property pid="4" name="ChangedDate" fmtid="{D5CDD505-2E9C-101B-9397-08002B2CF9AE}">
    <vt:lpwstr>20230129083134</vt:lpwstr>
  </property>
</Properties>
</file>