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Rural Business Development Corporation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</w:p>
        </w:tc>
        <w:tc>
          <w:p>
            <w:pPr>
              <w:pStyle w:val="Table01Row"/>
            </w:pPr>
            <w:r>
              <w:t>2000/072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s. 1 &amp; 2: 6 Dec 2000;</w:t>
            </w:r>
          </w:p>
          <w:p>
            <w:pPr>
              <w:pStyle w:val="Table01Row"/>
            </w:pPr>
            <w:r>
              <w:rPr/>
              <w:t xml:space="preserve">Act other than s. 1 &amp; 2: 20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2000 p. 7273)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153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Oct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Rural Business Development Corporation Act 2000</vt:lpwstr>
  </property>
  <property pid="3" name="IDAct" fmtid="{D5CDD505-2E9C-101B-9397-08002B2CF9AE}">
    <vt:lpwstr>2056</vt:lpwstr>
  </property>
  <property pid="4" name="ChangedDate" fmtid="{D5CDD505-2E9C-101B-9397-08002B2CF9AE}">
    <vt:lpwstr>20230127165851</vt:lpwstr>
  </property>
</Properties>
</file>