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Hope Valley‑Wattleup Redevelopment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Hope Valley‑Wattleup Redevelopment Act 2000</w:t>
            </w:r>
          </w:p>
        </w:tc>
        <w:tc>
          <w:p>
            <w:pPr>
              <w:pStyle w:val="Table01Row"/>
            </w:pPr>
            <w:r>
              <w:t>2000/077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s. 1 &amp; 2: 7 Dec 2000;</w:t>
            </w:r>
          </w:p>
          <w:p>
            <w:pPr>
              <w:pStyle w:val="Table01Row"/>
            </w:pPr>
            <w:r>
              <w:rPr/>
              <w:t xml:space="preserve">s. 3(2): 7 Dec 2000 (see s. 2(3)); </w:t>
            </w:r>
          </w:p>
          <w:p>
            <w:pPr>
              <w:pStyle w:val="Table01Row"/>
            </w:pPr>
            <w:r>
              <w:rPr/>
              <w:t xml:space="preserve">Act other than s. 1, 2 &amp; 3(2): 1 Jan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Appeals Amendment Act 2002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2002/024</w:t>
            </w:r>
          </w:p>
        </w:tc>
        <w:tc>
          <w:p>
            <w:pPr>
              <w:pStyle w:val="Table01Row"/>
            </w:pPr>
            <w:r>
              <w:t>24 Sep 2002</w:t>
            </w:r>
          </w:p>
        </w:tc>
        <w:tc>
          <w:p>
            <w:pPr>
              <w:pStyle w:val="Table01Row"/>
            </w:pPr>
            <w:r>
              <w:rPr/>
              <w:t xml:space="preserve">18 Apr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2003 p. 1243)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</w:t>
              <w:t>s. 68(3)</w:t>
            </w:r>
          </w:p>
        </w:tc>
        <w:tc>
          <w:p>
            <w:pPr>
              <w:pStyle w:val="Table01Row"/>
            </w:pPr>
            <w:r>
              <w:t>2003/054</w:t>
            </w:r>
          </w:p>
        </w:tc>
        <w:tc>
          <w:p>
            <w:pPr>
              <w:pStyle w:val="Table01Row"/>
            </w:pPr>
            <w:r>
              <w:t>20 Oct 2003</w:t>
            </w:r>
          </w:p>
        </w:tc>
        <w:tc>
          <w:p>
            <w:pPr>
              <w:pStyle w:val="Table01Row"/>
            </w:pPr>
            <w:r>
              <w:rPr/>
              <w:t xml:space="preserve">19 Nov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2003 p. 4723)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Sep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84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Hope Valley‑Wattleup Redevelopment Amendment Act 2011</w:t>
            </w:r>
          </w:p>
        </w:tc>
        <w:tc>
          <w:p>
            <w:pPr>
              <w:pStyle w:val="Table01Row"/>
            </w:pPr>
            <w:r>
              <w:t>2011/008</w:t>
            </w:r>
          </w:p>
        </w:tc>
        <w:tc>
          <w:p>
            <w:pPr>
              <w:pStyle w:val="Table01Row"/>
            </w:pPr>
            <w:r>
              <w:t>2 May 2011</w:t>
            </w:r>
          </w:p>
        </w:tc>
        <w:tc>
          <w:p>
            <w:pPr>
              <w:pStyle w:val="Table01Row"/>
            </w:pPr>
            <w:r>
              <w:rPr/>
              <w:t xml:space="preserve">s. 1 &amp; 2: 2 May 2011 (see s. 2(a));</w:t>
            </w:r>
          </w:p>
          <w:p>
            <w:pPr>
              <w:pStyle w:val="Table01Row"/>
            </w:pPr>
            <w:r>
              <w:rPr/>
              <w:t xml:space="preserve">Act other than s. 1 &amp; 2: 3 May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Aug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35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Hope Valley-Wattleup Redevelopment Act 2000</vt:lpwstr>
  </property>
  <property pid="3" name="IDAct" fmtid="{D5CDD505-2E9C-101B-9397-08002B2CF9AE}">
    <vt:lpwstr>2064</vt:lpwstr>
  </property>
  <property pid="4" name="ChangedDate" fmtid="{D5CDD505-2E9C-101B-9397-08002B2CF9AE}">
    <vt:lpwstr>20230613134443</vt:lpwstr>
  </property>
</Properties>
</file>