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Z</w:t>
      </w:r>
    </w:p>
    <w:p>
      <w:pPr>
        <w:pStyle w:val="IActName"/>
      </w:pPr>
      <w:r>
        <w:t>Zoological Parks Authority Act 2001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Zoological Parks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</w:p>
        </w:tc>
        <w:tc>
          <w:p>
            <w:pPr>
              <w:pStyle w:val="Table01Row"/>
            </w:pPr>
            <w:r>
              <w:t>2001/024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2001;</w:t>
            </w:r>
          </w:p>
          <w:p>
            <w:pPr>
              <w:pStyle w:val="Table01Row"/>
            </w:pPr>
            <w:r>
              <w:rPr/>
              <w:t xml:space="preserve">Act other than s. 1 &amp; 2: 22 May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May 2002 p. 2445)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105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20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7 Div. 6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Oct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190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95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55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Oct 2012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Zoological Parks Authority Act 2001</vt:lpwstr>
  </property>
  <property pid="3" name="IDAct" fmtid="{D5CDD505-2E9C-101B-9397-08002B2CF9AE}">
    <vt:lpwstr>2089</vt:lpwstr>
  </property>
  <property pid="4" name="ChangedDate" fmtid="{D5CDD505-2E9C-101B-9397-08002B2CF9AE}">
    <vt:lpwstr>20230129090436</vt:lpwstr>
  </property>
</Properties>
</file>