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Workers’ Compensation and Injury Management (Acts of Terrorism) Act 2001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Workers' Compensation and Rehabilitation (Acts of Terrorism) Act 2001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and Rehabilitation (Acts of Terrorism) Act 2001</w:t>
            </w:r>
          </w:p>
        </w:tc>
        <w:tc>
          <w:p>
            <w:pPr>
              <w:pStyle w:val="Table01Row"/>
            </w:pPr>
            <w:r>
              <w:t>2001/040</w:t>
            </w:r>
          </w:p>
        </w:tc>
        <w:tc>
          <w:p>
            <w:pPr>
              <w:pStyle w:val="Table01Row"/>
            </w:pPr>
            <w:r>
              <w:t>31 Dec 2001</w:t>
            </w:r>
          </w:p>
        </w:tc>
        <w:tc>
          <w:p>
            <w:pPr>
              <w:pStyle w:val="Table01Row"/>
            </w:pPr>
            <w:r>
              <w:rPr/>
              <w:t xml:space="preserve">31 Dec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and Rehabilitation (Acts of Terrorism) Amendment Act 2002</w:t>
            </w:r>
          </w:p>
        </w:tc>
        <w:tc>
          <w:p>
            <w:pPr>
              <w:pStyle w:val="Table01Row"/>
            </w:pPr>
            <w:r>
              <w:t>2002/036</w:t>
            </w:r>
          </w:p>
        </w:tc>
        <w:tc>
          <w:p>
            <w:pPr>
              <w:pStyle w:val="Table01Row"/>
            </w:pPr>
            <w:r>
              <w:t>20 Nov 2002</w:t>
            </w:r>
          </w:p>
        </w:tc>
        <w:tc>
          <w:p>
            <w:pPr>
              <w:pStyle w:val="Table01Row"/>
            </w:pPr>
            <w:r>
              <w:rPr/>
              <w:t xml:space="preserve">20 Nov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171 &amp; 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s. 171(1), (2) &amp; (4) &amp; s. 174: 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7131); </w:t>
            </w:r>
          </w:p>
          <w:p>
            <w:pPr>
              <w:pStyle w:val="Table01Row"/>
            </w:pPr>
            <w:r>
              <w:rPr/>
              <w:t xml:space="preserve">s. 171(3): 14 Nov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 and 17 Jun 2005 p. 2657);</w:t>
            </w:r>
          </w:p>
          <w:p>
            <w:pPr>
              <w:pStyle w:val="Table01Row"/>
            </w:pPr>
            <w:r>
              <w:rPr/>
              <w:t xml:space="preserve">Proclamation published 31 Dec 2004 p. 7131 revoked para (b) (see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2005 p. 2657)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19 Jan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s. 616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	2023/021 s. 616, Workers Compensation and Injury Management Act 2023 (1 Jul 2024 (see s. 2(d) and SL 2024/34 cl. 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Workers' Compensation and Injury Management (Acts of Terrorism) Act 2001</vt:lpwstr>
  </property>
  <property pid="3" name="IDAct" fmtid="{D5CDD505-2E9C-101B-9397-08002B2CF9AE}">
    <vt:lpwstr>2106</vt:lpwstr>
  </property>
  <property pid="4" name="ChangedDate" fmtid="{D5CDD505-2E9C-101B-9397-08002B2CF9AE}">
    <vt:lpwstr>20231211153227</vt:lpwstr>
  </property>
</Properties>
</file>