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Investigation (Identifying People) Act 2002</w:t>
      </w:r>
    </w:p>
    <w:p>
      <w:pPr>
        <w:pStyle w:val="Table01Note"/>
      </w:pPr>
      <w:r>
        <w:rPr/>
        <w:t xml:space="preserve">Note: In order to give effect to the Cross‑border Justice Act 2008, the Criminal Investigation (Identifying People) Act 2002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s. 1 &amp; 2: 4 Jun 2002;</w:t>
            </w:r>
          </w:p>
          <w:p>
            <w:pPr>
              <w:pStyle w:val="Table01Row"/>
            </w:pPr>
            <w:r>
              <w:rPr/>
              <w:t xml:space="preserve">Act other than s. 1 &amp; 2, Pt. 4‑7 &amp; Sch. 2 cl. 1, 3 &amp; 5(2): 29 Jun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3037);</w:t>
            </w:r>
          </w:p>
          <w:p>
            <w:pPr>
              <w:pStyle w:val="Table01Row"/>
            </w:pPr>
            <w:r>
              <w:rPr/>
              <w:t xml:space="preserve">Pt. 4‑7 &amp; Sch. 2 cl. 1, 3 &amp; 5(2): 20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2002 p. 5505)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7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Nov 2006 (not including 2006/050)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15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Sep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16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Act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2010/056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17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2010 p. 6887)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  <w:r>
              <w:t xml:space="preserve"> </w:t>
              <w:t>Pt. 5 Div. 3</w:t>
            </w:r>
          </w:p>
        </w:tc>
        <w:tc>
          <w:p>
            <w:pPr>
              <w:pStyle w:val="Table01Row"/>
            </w:pPr>
            <w:r>
              <w:t>2010/059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23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Feb 2011 p. 633)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Amendment Act 2011</w:t>
            </w:r>
          </w:p>
        </w:tc>
        <w:tc>
          <w:p>
            <w:pPr>
              <w:pStyle w:val="Table01Row"/>
            </w:pPr>
            <w:r>
              <w:t>2011/015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25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26 May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Jan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 2012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2012/001</w:t>
            </w:r>
          </w:p>
        </w:tc>
        <w:tc>
          <w:p>
            <w:pPr>
              <w:pStyle w:val="Table01Row"/>
            </w:pPr>
            <w:r>
              <w:t>15 Mar 2012</w:t>
            </w:r>
          </w:p>
        </w:tc>
        <w:tc>
          <w:p>
            <w:pPr>
              <w:pStyle w:val="Table01Row"/>
            </w:pPr>
            <w:r>
              <w:rPr/>
              <w:t xml:space="preserve">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2012 p. 2777)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175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Amendment Act 2013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2013/022</w:t>
            </w:r>
          </w:p>
        </w:tc>
        <w:tc>
          <w:p>
            <w:pPr>
              <w:pStyle w:val="Table01Row"/>
            </w:pPr>
            <w:r>
              <w:t>12 Nov 2013</w:t>
            </w:r>
          </w:p>
        </w:tc>
        <w:tc>
          <w:p>
            <w:pPr>
              <w:pStyle w:val="Table01Row"/>
            </w:pPr>
            <w:r>
              <w:rPr/>
              <w:t xml:space="preserve">Pt. 2 other than s. 28: 13 Nov 2013 (see s. 2(c));</w:t>
            </w:r>
          </w:p>
          <w:p>
            <w:pPr>
              <w:pStyle w:val="Table01Row"/>
            </w:pPr>
            <w:r>
              <w:rPr/>
              <w:t xml:space="preserve">s. 28: 16 Apr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2014 p. 1053)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14 Mar 2014 (not including 2013/022 s. 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(Protected Entertainment Precincts)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2022/044</w:t>
            </w:r>
          </w:p>
        </w:tc>
        <w:tc>
          <w:p>
            <w:pPr>
              <w:pStyle w:val="Table01Row"/>
            </w:pPr>
            <w:r>
              <w:t>1 Dec 2022</w:t>
            </w:r>
          </w:p>
        </w:tc>
        <w:tc>
          <w:p>
            <w:pPr>
              <w:pStyle w:val="Table01Row"/>
            </w:pPr>
            <w:r>
              <w:rPr/>
              <w:t xml:space="preserve">24 Dec 2022 (see s. 2(b) see SL 2022/216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8, s. 409 &amp; 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(Banned Drinkers Register)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2023/025</w:t>
            </w:r>
          </w:p>
        </w:tc>
        <w:tc>
          <w:p>
            <w:pPr>
              <w:pStyle w:val="Table01Row"/>
            </w:pPr>
            <w:r>
              <w:t>10 Nov 2023</w:t>
            </w:r>
          </w:p>
        </w:tc>
        <w:tc>
          <w:p>
            <w:pPr>
              <w:pStyle w:val="Table01Row"/>
            </w:pPr>
            <w:r>
              <w:rPr/>
              <w:t xml:space="preserve">Pt. 3 (other than s. 34): 14 Dec 2023 (see s. 2(b) and SL 2023/191 cl. 2);</w:t>
            </w:r>
          </w:p>
          <w:p>
            <w:pPr>
              <w:pStyle w:val="Table01Row"/>
            </w:pPr>
            <w:r>
              <w:rPr/>
              <w:t xml:space="preserve">s. 34: 14 Dec 2025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Investigation (Identifying People) Act 2002</vt:lpwstr>
  </property>
  <property pid="3" name="IDAct" fmtid="{D5CDD505-2E9C-101B-9397-08002B2CF9AE}">
    <vt:lpwstr>2113</vt:lpwstr>
  </property>
  <property pid="4" name="ChangedDate" fmtid="{D5CDD505-2E9C-101B-9397-08002B2CF9AE}">
    <vt:lpwstr>20230129083134</vt:lpwstr>
  </property>
</Properties>
</file>