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Deputy Governor’s Powers Act 1911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Deputy Governor’s Powers Act 1911</w:t>
            </w:r>
          </w:p>
        </w:tc>
        <w:tc>
          <w:p>
            <w:pPr>
              <w:pStyle w:val="Table01Row"/>
            </w:pPr>
            <w:r>
              <w:t>1912/016 (2 Geo. V No. 24)</w:t>
            </w:r>
          </w:p>
        </w:tc>
        <w:tc>
          <w:p>
            <w:pPr>
              <w:pStyle w:val="Table01Row"/>
            </w:pPr>
            <w:r>
              <w:t>15 Jan 1912</w:t>
            </w:r>
          </w:p>
        </w:tc>
        <w:tc>
          <w:p>
            <w:pPr>
              <w:pStyle w:val="Table01Row"/>
            </w:pPr>
            <w:r>
              <w:rPr/>
              <w:t xml:space="preserve">15 Jan 1912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(correction in Gazette 2 Nov 2012 p. 5261)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Mar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Deputy Governor's Powers Act 1911</vt:lpwstr>
  </property>
  <property pid="3" name="IDAct" fmtid="{D5CDD505-2E9C-101B-9397-08002B2CF9AE}">
    <vt:lpwstr>221</vt:lpwstr>
  </property>
  <property pid="4" name="ChangedDate" fmtid="{D5CDD505-2E9C-101B-9397-08002B2CF9AE}">
    <vt:lpwstr>20230609145506</vt:lpwstr>
  </property>
</Properties>
</file>