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Disposal of Uncollected Goods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Disposal of Uncollected Goods Act 1970</w:t>
            </w:r>
          </w:p>
        </w:tc>
        <w:tc>
          <w:p>
            <w:pPr>
              <w:pStyle w:val="Table01Row"/>
            </w:pPr>
            <w:r>
              <w:t>1970/121</w:t>
            </w:r>
          </w:p>
        </w:tc>
        <w:tc>
          <w:p>
            <w:pPr>
              <w:pStyle w:val="Table01Row"/>
            </w:pPr>
            <w:r>
              <w:t>10 Dec 1970</w:t>
            </w:r>
          </w:p>
        </w:tc>
        <w:tc>
          <w:p>
            <w:pPr>
              <w:pStyle w:val="Table01Row"/>
            </w:pPr>
            <w:r>
              <w:rPr/>
              <w:t xml:space="preserve">1 Aug 1971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1971 p. 2555)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Act 1987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1987/128</w:t>
            </w:r>
          </w:p>
        </w:tc>
        <w:tc>
          <w:p>
            <w:pPr>
              <w:pStyle w:val="Table01Row"/>
            </w:pPr>
            <w:r>
              <w:t>21 Jan 1988</w:t>
            </w:r>
          </w:p>
        </w:tc>
        <w:tc>
          <w:p>
            <w:pPr>
              <w:pStyle w:val="Table01Row"/>
            </w:pPr>
            <w:r>
              <w:rPr/>
              <w:t xml:space="preserve">1 Oct 1989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Aug 1989 p. 2748)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Pawnbrokers and Second‑hand Dealers Act 1994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1994/088</w:t>
            </w:r>
          </w:p>
        </w:tc>
        <w:tc>
          <w:p>
            <w:pPr>
              <w:pStyle w:val="Table01Row"/>
            </w:pPr>
            <w:r>
              <w:t>5 Jan 1995</w:t>
            </w:r>
          </w:p>
        </w:tc>
        <w:tc>
          <w:p>
            <w:pPr>
              <w:pStyle w:val="Table01Row"/>
            </w:pPr>
            <w:r>
              <w:rPr/>
              <w:t xml:space="preserve">1 Apr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Mar 1996 p. 1495)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76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(Consequential Provisions) Act 1999</w:t>
            </w:r>
            <w:r>
              <w:t xml:space="preserve"> </w:t>
              <w:t>s. 7(1)</w:t>
            </w:r>
          </w:p>
        </w:tc>
        <w:tc>
          <w:p>
            <w:pPr>
              <w:pStyle w:val="Table01Row"/>
            </w:pPr>
            <w:r>
              <w:t>1999/016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7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Aug 1999 p. 3727)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Jan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</w:t>
              <w:t>s. 157 &amp; 203</w:t>
            </w:r>
          </w:p>
        </w:tc>
        <w:tc>
          <w:p>
            <w:pPr>
              <w:pStyle w:val="Table01Row"/>
            </w:pPr>
            <w:r>
              <w:t>2003/031</w:t>
            </w:r>
          </w:p>
        </w:tc>
        <w:tc>
          <w:p>
            <w:pPr>
              <w:pStyle w:val="Table01Row"/>
            </w:pPr>
            <w:r>
              <w:t>26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Residential Tenancies Amendment Act 2011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2011/060</w:t>
            </w:r>
          </w:p>
        </w:tc>
        <w:tc>
          <w:p>
            <w:pPr>
              <w:pStyle w:val="Table01Row"/>
            </w:pPr>
            <w:r>
              <w:t>14 Dec 2011</w:t>
            </w:r>
          </w:p>
        </w:tc>
        <w:tc>
          <w:p>
            <w:pPr>
              <w:pStyle w:val="Table01Row"/>
            </w:pPr>
            <w:r>
              <w:rPr/>
              <w:t xml:space="preserve">1 Jul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 May 2013 p. 1735)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 Feb 2013 (not including 2011/060)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Disposal of Uncollected Goods Amendment Act 2016</w:t>
            </w:r>
          </w:p>
        </w:tc>
        <w:tc>
          <w:p>
            <w:pPr>
              <w:pStyle w:val="Table01Row"/>
            </w:pPr>
            <w:r>
              <w:t>2016/043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2016 (see s. 2(a));</w:t>
            </w:r>
          </w:p>
          <w:p>
            <w:pPr>
              <w:pStyle w:val="Table01Row"/>
            </w:pPr>
            <w:r>
              <w:rPr/>
              <w:t xml:space="preserve">Act other than s. 1 &amp; 2: 10 Jun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9 Jun 2017 p. 2849)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Disposal of Uncollected Goods Act 1970</vt:lpwstr>
  </property>
  <property pid="3" name="IDAct" fmtid="{D5CDD505-2E9C-101B-9397-08002B2CF9AE}">
    <vt:lpwstr>226</vt:lpwstr>
  </property>
  <property pid="4" name="ChangedDate" fmtid="{D5CDD505-2E9C-101B-9397-08002B2CF9AE}">
    <vt:lpwstr>20230129081742</vt:lpwstr>
  </property>
</Properties>
</file>