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Dog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Dog Act 1976</w:t>
            </w:r>
          </w:p>
        </w:tc>
        <w:tc>
          <w:p>
            <w:pPr>
              <w:pStyle w:val="Table01Row"/>
            </w:pPr>
            <w:r>
              <w:t>1976/058</w:t>
            </w:r>
          </w:p>
        </w:tc>
        <w:tc>
          <w:p>
            <w:pPr>
              <w:pStyle w:val="Table01Row"/>
            </w:pPr>
            <w:r>
              <w:t>16 Sep 1976</w:t>
            </w:r>
          </w:p>
        </w:tc>
        <w:tc>
          <w:p>
            <w:pPr>
              <w:pStyle w:val="Table01Row"/>
            </w:pPr>
            <w:r>
              <w:rPr/>
              <w:t xml:space="preserve">Act other than s. 21: 24 Dec 1976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1976 p. 5029); </w:t>
            </w:r>
          </w:p>
          <w:p>
            <w:pPr>
              <w:pStyle w:val="Table01Row"/>
            </w:pPr>
            <w:r>
              <w:rPr/>
              <w:t xml:space="preserve">s. 21: 1 Jul 1977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 Jun 1977 p. 1635)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Dog Act Amendment Act 1977</w:t>
            </w:r>
          </w:p>
        </w:tc>
        <w:tc>
          <w:p>
            <w:pPr>
              <w:pStyle w:val="Table01Row"/>
            </w:pPr>
            <w:r>
              <w:t>1977/057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23 Nov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Dog Amendment Act 1983</w:t>
            </w:r>
          </w:p>
        </w:tc>
        <w:tc>
          <w:p>
            <w:pPr>
              <w:pStyle w:val="Table01Row"/>
            </w:pPr>
            <w:r>
              <w:t>1983/064</w:t>
            </w:r>
          </w:p>
        </w:tc>
        <w:tc>
          <w:p>
            <w:pPr>
              <w:pStyle w:val="Table01Row"/>
            </w:pPr>
            <w:r>
              <w:t>13 Dec 1983</w:t>
            </w:r>
          </w:p>
        </w:tc>
        <w:tc>
          <w:p>
            <w:pPr>
              <w:pStyle w:val="Table01Row"/>
            </w:pPr>
            <w:r>
              <w:rPr/>
              <w:t xml:space="preserve">17 Nov 1983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Sep 1984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Dog Amendment Act 1987</w:t>
            </w:r>
          </w:p>
        </w:tc>
        <w:tc>
          <w:p>
            <w:pPr>
              <w:pStyle w:val="Table01Row"/>
            </w:pPr>
            <w:r>
              <w:t>1987/023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s. 1 &amp; 2: 25 Jun 1987;</w:t>
            </w:r>
          </w:p>
          <w:p>
            <w:pPr>
              <w:pStyle w:val="Table01Row"/>
            </w:pPr>
            <w:r>
              <w:rPr/>
              <w:t xml:space="preserve">Act other than s. 1 &amp; 2: 1 Nov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1987 p. 3587)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1988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Dog Amendment Act 1996</w:t>
            </w:r>
          </w:p>
        </w:tc>
        <w:tc>
          <w:p>
            <w:pPr>
              <w:pStyle w:val="Table01Row"/>
            </w:pPr>
            <w:r>
              <w:t>1996/024</w:t>
            </w:r>
          </w:p>
        </w:tc>
        <w:tc>
          <w:p>
            <w:pPr>
              <w:pStyle w:val="Table01Row"/>
            </w:pPr>
            <w:r>
              <w:t>27 Aug 1996</w:t>
            </w:r>
          </w:p>
        </w:tc>
        <w:tc>
          <w:p>
            <w:pPr>
              <w:pStyle w:val="Table01Row"/>
            </w:pPr>
            <w:r>
              <w:rPr/>
              <w:t xml:space="preserve">s. 1 &amp; 2: 27 Aug 1996;</w:t>
            </w:r>
          </w:p>
          <w:p>
            <w:pPr>
              <w:pStyle w:val="Table01Row"/>
            </w:pPr>
            <w:r>
              <w:rPr/>
              <w:t xml:space="preserve">Act other than s. 1 &amp; 2: 14 Sep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Sep 1996 p. 4675)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Nov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1998/023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1 Aug 1998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1998 p. 3825)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15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15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38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Aug 2006 (not including 2004/059 Sch. 2 cl. 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132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Dog Amendment Act 2013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2013/018</w:t>
            </w:r>
          </w:p>
        </w:tc>
        <w:tc>
          <w:p>
            <w:pPr>
              <w:pStyle w:val="Table01Row"/>
            </w:pPr>
            <w:r>
              <w:t>29 Oct 2013</w:t>
            </w:r>
          </w:p>
        </w:tc>
        <w:tc>
          <w:p>
            <w:pPr>
              <w:pStyle w:val="Table01Row"/>
            </w:pPr>
            <w:r>
              <w:rPr/>
              <w:t xml:space="preserve">1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2013 p. 4829)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4 Jul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11 &amp; Pt. 5 Div. 5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3 Div. 11: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5: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</w:t>
              <w:t>Pt. 4 Div. 5</w:t>
            </w:r>
          </w:p>
        </w:tc>
        <w:tc>
          <w:p>
            <w:pPr>
              <w:pStyle w:val="Table01Row"/>
            </w:pPr>
            <w:r>
              <w:t>2019/016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7 Nov 2020 (see s. 2(b) and SL 2020/212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148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230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Dog Amendment (Stop Puppy Farming) Act 2021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2021/029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Pt. 2 (other than Div. 3‑5): 23 Dec 2021 (see s. 2(b));</w:t>
            </w:r>
          </w:p>
          <w:p>
            <w:pPr>
              <w:pStyle w:val="Table01Row"/>
            </w:pPr>
            <w:r>
              <w:rPr/>
              <w:t xml:space="preserve">Pt. 2 Div. 3 (but only s. 44): 27 Aug 2022 (see s. 2(e) &amp; SL 2022/150 cl. 2);</w:t>
            </w:r>
          </w:p>
          <w:p>
            <w:pPr>
              <w:pStyle w:val="Table01Row"/>
            </w:pPr>
            <w:r>
              <w:rPr/>
              <w:t xml:space="preserve">s. 6‑43, 45 &amp;  Pt. 2 Div. 4‑5: to be proclaimed (see s. 2(c), (d) &amp; (e))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Dog Act 1976</vt:lpwstr>
  </property>
  <property pid="3" name="IDAct" fmtid="{D5CDD505-2E9C-101B-9397-08002B2CF9AE}">
    <vt:lpwstr>230</vt:lpwstr>
  </property>
  <property pid="4" name="ChangedDate" fmtid="{D5CDD505-2E9C-101B-9397-08002B2CF9AE}">
    <vt:lpwstr>20240105111758</vt:lpwstr>
  </property>
</Properties>
</file>