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Exotic Diseases of Animals Act 1993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Exotic Diseases of Animals Act 1993</w:t>
            </w:r>
          </w:p>
        </w:tc>
        <w:tc>
          <w:p>
            <w:pPr>
              <w:pStyle w:val="Table01Row"/>
            </w:pPr>
            <w:r>
              <w:t>1993/033</w:t>
            </w:r>
          </w:p>
        </w:tc>
        <w:tc>
          <w:p>
            <w:pPr>
              <w:pStyle w:val="Table01Row"/>
            </w:pPr>
            <w:r>
              <w:t>16 Dec 1993</w:t>
            </w:r>
          </w:p>
        </w:tc>
        <w:tc>
          <w:p>
            <w:pPr>
              <w:pStyle w:val="Table01Row"/>
            </w:pPr>
            <w:r>
              <w:rPr/>
              <w:t xml:space="preserve">s. 1 &amp; 2: 16 Dec 1993;</w:t>
            </w:r>
          </w:p>
          <w:p>
            <w:pPr>
              <w:pStyle w:val="Table01Row"/>
            </w:pPr>
            <w:r>
              <w:rPr/>
              <w:t xml:space="preserve">Act other than s. 1 &amp; 2: 4 Feb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Feb 1994 p. 339)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Jan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61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88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1 May 2013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5 Feb 2013 p. 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55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20 Sep 2013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Veterinary Practice Act 2021</w:t>
            </w:r>
            <w:r>
              <w:t xml:space="preserve"> </w:t>
              <w:t>s. 231</w:t>
            </w:r>
          </w:p>
        </w:tc>
        <w:tc>
          <w:p>
            <w:pPr>
              <w:pStyle w:val="Table01Row"/>
            </w:pPr>
            <w:r>
              <w:t>2021/019</w:t>
            </w:r>
          </w:p>
        </w:tc>
        <w:tc>
          <w:p>
            <w:pPr>
              <w:pStyle w:val="Table01Row"/>
            </w:pPr>
            <w:r>
              <w:t>27 Oct 2021</w:t>
            </w:r>
          </w:p>
        </w:tc>
        <w:tc>
          <w:p>
            <w:pPr>
              <w:pStyle w:val="Table01Row"/>
            </w:pPr>
            <w:r>
              <w:rPr/>
              <w:t xml:space="preserve">18 Jun 2022 (see s. 2(b) and SL 2022/81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25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Exotic Diseases of Animals Act 1993</vt:lpwstr>
  </property>
  <property pid="3" name="IDAct" fmtid="{D5CDD505-2E9C-101B-9397-08002B2CF9AE}">
    <vt:lpwstr>261</vt:lpwstr>
  </property>
  <property pid="4" name="ChangedDate" fmtid="{D5CDD505-2E9C-101B-9397-08002B2CF9AE}">
    <vt:lpwstr>20230127165851</vt:lpwstr>
  </property>
</Properties>
</file>