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Financial Agreement Act 1928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Agreement Act 1928</w:t>
            </w:r>
          </w:p>
        </w:tc>
        <w:tc>
          <w:p>
            <w:pPr>
              <w:pStyle w:val="Table01Row"/>
            </w:pPr>
            <w:r>
              <w:t>1928/001 (19 Geo. V No. 1)</w:t>
            </w:r>
          </w:p>
        </w:tc>
        <w:tc>
          <w:p>
            <w:pPr>
              <w:pStyle w:val="Table01Row"/>
            </w:pPr>
            <w:r>
              <w:t>30 Aug 1928</w:t>
            </w:r>
          </w:p>
        </w:tc>
        <w:tc>
          <w:p>
            <w:pPr>
              <w:pStyle w:val="Table01Row"/>
            </w:pPr>
            <w:r>
              <w:rPr/>
              <w:t xml:space="preserve">30 Aug 1928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and Audit Amendment Act 1990</w:t>
            </w:r>
            <w:r>
              <w:t xml:space="preserve"> </w:t>
              <w:t>s. 39(1)</w:t>
            </w:r>
          </w:p>
        </w:tc>
        <w:tc>
          <w:p>
            <w:pPr>
              <w:pStyle w:val="Table01Row"/>
            </w:pPr>
            <w:r>
              <w:t>1990/092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8 Mar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Mar 1991 p. 1029)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Feb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2016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Financial Agreement Act 1928</vt:lpwstr>
  </property>
  <property pid="3" name="IDAct" fmtid="{D5CDD505-2E9C-101B-9397-08002B2CF9AE}">
    <vt:lpwstr>271</vt:lpwstr>
  </property>
  <property pid="4" name="ChangedDate" fmtid="{D5CDD505-2E9C-101B-9397-08002B2CF9AE}">
    <vt:lpwstr>20230609150906</vt:lpwstr>
  </property>
</Properties>
</file>