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AlphabetDivider"/>
      </w:pPr>
      <w:r>
        <w:t>F</w:t>
      </w:r>
    </w:p>
    <w:p>
      <w:pPr>
        <w:pStyle w:val="IActName"/>
      </w:pPr>
      <w:r>
        <w:t>Fines, Penalties and Infringement Notices Enforcement Act 1994</w:t>
      </w:r>
    </w:p>
    <w:p>
      <w:pPr>
        <w:pStyle w:val="Table01Note"/>
      </w:pPr>
      <w:r>
        <w:rPr/>
        <w:t xml:space="preserve">Note: In order to give effect to the Cross‑border Justice Act 2008, the Fines, Penalties and Infringement Notices Enforcement Act 1994 must be applied with the modifications prescribed by the Cross‑border Justice Regulations 2009.</w:t>
      </w:r>
    </w:p>
    <w:tbl>
      <w:tblPr>
        <w:tblW w:w="0" w:type="auto"/>
        <w:tblLayout w:type="fixed"/>
        <w:jc w:val="center"/>
        <w:tblCellMar>
          <w:left w:w="0" w:type="dxa"/>
          <w:right w:w="0" w:type="dxa"/>
        </w:tblCellMar>
        <w:tblLook w:val="0000" w:firstRow="0" w:lastRow="0" w:firstColumn="0" w:lastColumn="0" w:noHBand="0" w:noVBand="0"/>
      </w:tblPr>
      <w:tblGrid>
        <w:gridCol w:w="1134"/>
        <w:gridCol w:w="8505"/>
      </w:tblGrid>
      <w:tr>
        <w:trPr>
          <w:cantSplit/>
        </w:trPr>
        <w:tc>
          <w:p>
            <w:pPr>
              <w:pStyle w:val="Table01Row"/>
              <w:keepNext/>
            </w:pPr>
            <w:r>
              <w:rPr>
                <w:b/>
              </w:rPr>
              <w:t>Portfolio:</w:t>
            </w:r>
          </w:p>
        </w:tc>
        <w:tc>
          <w:p>
            <w:pPr>
              <w:pStyle w:val="Table01Row"/>
              <w:keepNext/>
            </w:pPr>
            <w:r>
              <w:t>Attorney General</w:t>
            </w:r>
          </w:p>
        </w:tc>
      </w:tr>
      <w:tr>
        <w:trPr>
          <w:cantSplit/>
        </w:trPr>
        <w:tc>
          <w:p>
            <w:pPr>
              <w:pStyle w:val="Table01Row"/>
              <w:keepNext/>
            </w:pPr>
            <w:r>
              <w:rPr>
                <w:b/>
              </w:rPr>
              <w:t>Agency:</w:t>
            </w:r>
          </w:p>
        </w:tc>
        <w:tc>
          <w:p>
            <w:pPr>
              <w:pStyle w:val="Table01Row"/>
              <w:keepNext/>
            </w:pPr>
            <w:r>
              <w:t>Department of Justice</w:t>
            </w:r>
          </w:p>
        </w:tc>
      </w:tr>
    </w:tbl>
    <w:p>
      <w:pPr>
        <w:keepNext/>
      </w:pPr>
    </w:p>
    <w:tbl>
      <w:tblPr>
        <w:tblW w:w="0" w:type="auto"/>
        <w:tblLayout w:type="fixed"/>
        <w:jc w:val="center"/>
        <w:tblCellMar>
          <w:left w:w="80" w:type="dxa"/>
          <w:right w:w="80" w:type="dxa"/>
        </w:tblCellMar>
        <w:tblLook w:val="0000" w:firstRow="0" w:lastRow="0" w:firstColumn="0" w:lastColumn="0" w:noHBand="0" w:noVBand="0"/>
      </w:tblPr>
      <w:tblGrid>
        <w:gridCol w:w="4253"/>
        <w:gridCol w:w="1134"/>
        <w:gridCol w:w="1134"/>
        <w:gridCol w:w="3686"/>
      </w:tblGrid>
      <w:tr>
        <w:trPr>
          <w:cantSplit/>
        </w:trPr>
        <w:tc>
          <w:p>
            <w:pPr>
              <w:pStyle w:val="Table01Row"/>
            </w:pPr>
            <w:r>
              <w:rPr>
                <w:i/>
              </w:rPr>
              <w:t>Fines, Penalties and Infringement Notices Enforcement Act 1994</w:t>
            </w:r>
          </w:p>
        </w:tc>
        <w:tc>
          <w:p>
            <w:pPr>
              <w:pStyle w:val="Table01Row"/>
            </w:pPr>
            <w:r>
              <w:t>1994/093</w:t>
            </w:r>
          </w:p>
        </w:tc>
        <w:tc>
          <w:p>
            <w:pPr>
              <w:pStyle w:val="Table01Row"/>
            </w:pPr>
            <w:r>
              <w:t>23 Dec 1994</w:t>
            </w:r>
          </w:p>
        </w:tc>
        <w:tc>
          <w:p>
            <w:pPr>
              <w:pStyle w:val="Table01Row"/>
            </w:pPr>
            <w:r>
              <w:rPr/>
              <w:t xml:space="preserve">s. 1 &amp; 2: 23 Dec 1994;</w:t>
            </w:r>
          </w:p>
          <w:p>
            <w:pPr>
              <w:pStyle w:val="Table01Row"/>
            </w:pPr>
            <w:r>
              <w:rPr/>
              <w:t xml:space="preserve">Act other than s. 1, 2 &amp; 29(2): 1 Jan 1995 (see s. 2(1) and </w:t>
            </w:r>
            <w:r>
              <w:rPr>
                <w:i/>
              </w:rPr>
              <w:t xml:space="preserve">Gazette</w:t>
            </w:r>
            <w:r>
              <w:rPr/>
              <w:t xml:space="preserve"> 30 Dec 1994 p. 7211);</w:t>
            </w:r>
          </w:p>
          <w:p>
            <w:pPr>
              <w:pStyle w:val="Table01Row"/>
            </w:pPr>
            <w:r>
              <w:rPr/>
              <w:t xml:space="preserve">s. 29(2): 11 Jan 1995 (see s. 2(2))</w:t>
            </w:r>
          </w:p>
        </w:tc>
      </w:tr>
      <w:tr>
        <w:trPr>
          <w:cantSplit/>
        </w:trPr>
        <w:tc>
          <w:p>
            <w:pPr>
              <w:pStyle w:val="Table01Row"/>
            </w:pPr>
            <w:r>
              <w:rPr>
                <w:i/>
              </w:rPr>
              <w:t>Sentencing (Consequential Provisions) Act 1995</w:t>
            </w:r>
            <w:r>
              <w:t xml:space="preserve"> </w:t>
              <w:t>Pt. 31</w:t>
            </w:r>
          </w:p>
        </w:tc>
        <w:tc>
          <w:p>
            <w:pPr>
              <w:pStyle w:val="Table01Row"/>
            </w:pPr>
            <w:r>
              <w:t>1995/078</w:t>
            </w:r>
          </w:p>
        </w:tc>
        <w:tc>
          <w:p>
            <w:pPr>
              <w:pStyle w:val="Table01Row"/>
            </w:pPr>
            <w:r>
              <w:t>16 Jan 1996</w:t>
            </w:r>
          </w:p>
        </w:tc>
        <w:tc>
          <w:p>
            <w:pPr>
              <w:pStyle w:val="Table01Row"/>
            </w:pPr>
            <w:r>
              <w:rPr/>
              <w:t xml:space="preserve">4 Nov 1996 (see s. 2 and </w:t>
            </w:r>
            <w:r>
              <w:rPr>
                <w:i/>
              </w:rPr>
              <w:t xml:space="preserve">Gazette</w:t>
            </w:r>
            <w:r>
              <w:rPr/>
              <w:t xml:space="preserve"> 25 Oct 1996 p. 5632)</w:t>
            </w:r>
          </w:p>
        </w:tc>
      </w:tr>
      <w:tr>
        <w:trPr>
          <w:cantSplit/>
        </w:trPr>
        <w:tc>
          <w:p>
            <w:pPr>
              <w:pStyle w:val="Table01Row"/>
            </w:pPr>
            <w:r>
              <w:rPr>
                <w:i/>
              </w:rPr>
              <w:t>Fines, Penalties and Infringement Notices Enforcement Amendment Act 1996</w:t>
            </w:r>
            <w:r>
              <w:t xml:space="preserve"> </w:t>
              <w:t>Pt. 2</w:t>
            </w:r>
          </w:p>
        </w:tc>
        <w:tc>
          <w:p>
            <w:pPr>
              <w:pStyle w:val="Table01Row"/>
            </w:pPr>
            <w:r>
              <w:t>1996/008</w:t>
            </w:r>
          </w:p>
        </w:tc>
        <w:tc>
          <w:p>
            <w:pPr>
              <w:pStyle w:val="Table01Row"/>
            </w:pPr>
            <w:r>
              <w:t>28 May 1996</w:t>
            </w:r>
          </w:p>
        </w:tc>
        <w:tc>
          <w:p>
            <w:pPr>
              <w:pStyle w:val="Table01Row"/>
            </w:pPr>
            <w:r>
              <w:rPr/>
              <w:t xml:space="preserve">6 Jul 1996 (see s. 2 and </w:t>
            </w:r>
            <w:r>
              <w:rPr>
                <w:i/>
              </w:rPr>
              <w:t xml:space="preserve">Gazette</w:t>
            </w:r>
            <w:r>
              <w:rPr/>
              <w:t xml:space="preserve"> 5 Jul 1996 p. 3215)</w:t>
            </w:r>
          </w:p>
        </w:tc>
      </w:tr>
      <w:tr>
        <w:trPr>
          <w:cantSplit/>
        </w:trPr>
        <w:tc>
          <w:p>
            <w:pPr>
              <w:pStyle w:val="Table01Row"/>
            </w:pPr>
            <w:r>
              <w:rPr>
                <w:i/>
              </w:rPr>
              <w:t>Road Traffic Amendment Act 1996</w:t>
            </w:r>
            <w:r>
              <w:t xml:space="preserve"> </w:t>
              <w:t>Pt. 3 Div. 3</w:t>
            </w:r>
          </w:p>
        </w:tc>
        <w:tc>
          <w:p>
            <w:pPr>
              <w:pStyle w:val="Table01Row"/>
            </w:pPr>
            <w:r>
              <w:t>1996/076</w:t>
            </w:r>
          </w:p>
        </w:tc>
        <w:tc>
          <w:p>
            <w:pPr>
              <w:pStyle w:val="Table01Row"/>
            </w:pPr>
            <w:r>
              <w:t>14 Nov 1996</w:t>
            </w:r>
          </w:p>
        </w:tc>
        <w:tc>
          <w:p>
            <w:pPr>
              <w:pStyle w:val="Table01Row"/>
            </w:pPr>
            <w:r>
              <w:rPr/>
              <w:t xml:space="preserve">1 Feb 1997 (see s. 2 and </w:t>
            </w:r>
            <w:r>
              <w:rPr>
                <w:i/>
              </w:rPr>
              <w:t xml:space="preserve">Gazette</w:t>
            </w:r>
            <w:r>
              <w:rPr/>
              <w:t xml:space="preserve"> 31 Jan 1997 p. 613)</w:t>
            </w:r>
          </w:p>
        </w:tc>
      </w:tr>
      <w:tr>
        <w:trPr>
          <w:cantSplit/>
        </w:trPr>
        <w:tc>
          <w:tcPr>
            <w:gridSpan w:val="4"/>
          </w:tcPr>
          <w:p>
            <w:pPr>
              <w:pStyle w:val="Table01Row"/>
            </w:pPr>
            <w:r>
              <w:rPr>
                <w:b/>
              </w:rPr>
              <w:t>Reprinted as at 12 Mar 1997 </w:t>
            </w:r>
          </w:p>
        </w:tc>
      </w:tr>
      <w:tr>
        <w:trPr>
          <w:cantSplit/>
        </w:trPr>
        <w:tc>
          <w:p>
            <w:pPr>
              <w:pStyle w:val="Table01Row"/>
            </w:pPr>
            <w:r>
              <w:rPr>
                <w:i/>
              </w:rPr>
              <w:t>Sunday Observance Laws Amendment and Repeal Act 1997</w:t>
            </w:r>
            <w:r>
              <w:t xml:space="preserve"> </w:t>
              <w:t>s. 5</w:t>
            </w:r>
          </w:p>
        </w:tc>
        <w:tc>
          <w:p>
            <w:pPr>
              <w:pStyle w:val="Table01Row"/>
            </w:pPr>
            <w:r>
              <w:t>1997/049</w:t>
            </w:r>
          </w:p>
        </w:tc>
        <w:tc>
          <w:p>
            <w:pPr>
              <w:pStyle w:val="Table01Row"/>
            </w:pPr>
            <w:r>
              <w:t>10 Dec 1997</w:t>
            </w:r>
          </w:p>
        </w:tc>
        <w:tc>
          <w:p>
            <w:pPr>
              <w:pStyle w:val="Table01Row"/>
            </w:pPr>
            <w:r>
              <w:rPr/>
              <w:t xml:space="preserve">10 Dec 1997 (see s. 2)</w:t>
            </w:r>
          </w:p>
        </w:tc>
      </w:tr>
      <w:tr>
        <w:trPr>
          <w:cantSplit/>
        </w:trPr>
        <w:tc>
          <w:tcPr>
            <w:gridSpan w:val="3"/>
          </w:tcPr>
          <w:p>
            <w:pPr>
              <w:pStyle w:val="Table01Row"/>
            </w:pPr>
            <w:r>
              <w:rPr>
                <w:i/>
              </w:rPr>
              <w:t>Fines, Penalties and Infringement Notices Enforcement Act Amendment Regulations 1999</w:t>
            </w:r>
            <w:r>
              <w:rPr/>
              <w:t xml:space="preserve"> published in </w:t>
            </w:r>
            <w:r>
              <w:rPr>
                <w:i/>
              </w:rPr>
              <w:t xml:space="preserve">Gazette</w:t>
            </w:r>
            <w:r>
              <w:rPr/>
              <w:t xml:space="preserve"> 12 Mar 1999 p. 1162</w:t>
            </w:r>
          </w:p>
        </w:tc>
        <w:tc>
          <w:p>
            <w:pPr>
              <w:pStyle w:val="Table01Row"/>
            </w:pPr>
            <w:r>
              <w:rPr/>
              <w:t xml:space="preserve">12 Mar 1999</w:t>
            </w:r>
          </w:p>
        </w:tc>
      </w:tr>
      <w:tr>
        <w:trPr>
          <w:cantSplit/>
        </w:trPr>
        <w:tc>
          <w:p>
            <w:pPr>
              <w:pStyle w:val="Table01Row"/>
            </w:pPr>
            <w:r>
              <w:rPr>
                <w:i/>
              </w:rPr>
              <w:t>Sentencing Legislation Amendment and Repeal Act 1999</w:t>
            </w:r>
            <w:r>
              <w:t xml:space="preserve"> </w:t>
              <w:t>s. 26</w:t>
            </w:r>
          </w:p>
        </w:tc>
        <w:tc>
          <w:p>
            <w:pPr>
              <w:pStyle w:val="Table01Row"/>
            </w:pPr>
            <w:r>
              <w:t>1999/057</w:t>
            </w:r>
          </w:p>
        </w:tc>
        <w:tc>
          <w:p>
            <w:pPr>
              <w:pStyle w:val="Table01Row"/>
            </w:pPr>
            <w:r>
              <w:t>16 Dec 1999</w:t>
            </w:r>
          </w:p>
        </w:tc>
        <w:tc>
          <w:p>
            <w:pPr>
              <w:pStyle w:val="Table01Row"/>
            </w:pPr>
            <w:r>
              <w:rPr/>
              <w:t xml:space="preserve">Repealed by 2003/050 s. 31</w:t>
            </w:r>
          </w:p>
        </w:tc>
      </w:tr>
      <w:tr>
        <w:trPr>
          <w:cantSplit/>
        </w:trPr>
        <w:tc>
          <w:p>
            <w:pPr>
              <w:pStyle w:val="Table01Row"/>
            </w:pPr>
            <w:r>
              <w:rPr>
                <w:i/>
              </w:rPr>
              <w:t>Acts Amendment (Fines Enforcement) Act 2000</w:t>
            </w:r>
            <w:r>
              <w:t xml:space="preserve"> </w:t>
              <w:t>Pt. 2</w:t>
            </w:r>
          </w:p>
        </w:tc>
        <w:tc>
          <w:p>
            <w:pPr>
              <w:pStyle w:val="Table01Row"/>
            </w:pPr>
            <w:r>
              <w:t>2000/009</w:t>
            </w:r>
          </w:p>
        </w:tc>
        <w:tc>
          <w:p>
            <w:pPr>
              <w:pStyle w:val="Table01Row"/>
            </w:pPr>
            <w:r>
              <w:t>19 May 2000</w:t>
            </w:r>
          </w:p>
        </w:tc>
        <w:tc>
          <w:p>
            <w:pPr>
              <w:pStyle w:val="Table01Row"/>
            </w:pPr>
            <w:r>
              <w:rPr/>
              <w:t xml:space="preserve">25 Aug 2000 (see s. 2 and </w:t>
            </w:r>
            <w:r>
              <w:rPr>
                <w:i/>
              </w:rPr>
              <w:t xml:space="preserve">Gazette</w:t>
            </w:r>
            <w:r>
              <w:rPr/>
              <w:t xml:space="preserve"> 25 Aug 2000 p. 4903)</w:t>
            </w:r>
          </w:p>
        </w:tc>
      </w:tr>
      <w:tr>
        <w:trPr>
          <w:cantSplit/>
        </w:trPr>
        <w:tc>
          <w:p>
            <w:pPr>
              <w:pStyle w:val="Table01Row"/>
            </w:pPr>
            <w:r>
              <w:rPr>
                <w:i/>
              </w:rPr>
              <w:t>Statutes (Repeals and Minor Amendments) Act 2000</w:t>
            </w:r>
            <w:r>
              <w:t xml:space="preserve"> </w:t>
              <w:t>s. 51</w:t>
            </w:r>
          </w:p>
        </w:tc>
        <w:tc>
          <w:p>
            <w:pPr>
              <w:pStyle w:val="Table01Row"/>
            </w:pPr>
            <w:r>
              <w:t>2000/024</w:t>
            </w:r>
          </w:p>
        </w:tc>
        <w:tc>
          <w:p>
            <w:pPr>
              <w:pStyle w:val="Table01Row"/>
            </w:pPr>
            <w:r>
              <w:t>4 Jul 2000</w:t>
            </w:r>
          </w:p>
        </w:tc>
        <w:tc>
          <w:p>
            <w:pPr>
              <w:pStyle w:val="Table01Row"/>
            </w:pPr>
            <w:r>
              <w:rPr/>
              <w:t xml:space="preserve">4 Jul 2000 (see s. 2)</w:t>
            </w:r>
          </w:p>
        </w:tc>
      </w:tr>
      <w:tr>
        <w:trPr>
          <w:cantSplit/>
        </w:trPr>
        <w:tc>
          <w:p>
            <w:pPr>
              <w:pStyle w:val="Table01Row"/>
            </w:pPr>
            <w:r>
              <w:rPr>
                <w:i/>
              </w:rPr>
              <w:t>Acts Amendment (Fines Enforcement and Licence Suspension) Act 2000</w:t>
            </w:r>
            <w:r>
              <w:t xml:space="preserve"> </w:t>
              <w:t>Pt. 2</w:t>
            </w:r>
          </w:p>
        </w:tc>
        <w:tc>
          <w:p>
            <w:pPr>
              <w:pStyle w:val="Table01Row"/>
            </w:pPr>
            <w:r>
              <w:t>2000/051</w:t>
            </w:r>
          </w:p>
        </w:tc>
        <w:tc>
          <w:p>
            <w:pPr>
              <w:pStyle w:val="Table01Row"/>
            </w:pPr>
            <w:r>
              <w:t>28 Nov 2000</w:t>
            </w:r>
          </w:p>
        </w:tc>
        <w:tc>
          <w:p>
            <w:pPr>
              <w:pStyle w:val="Table01Row"/>
            </w:pPr>
            <w:r>
              <w:rPr/>
              <w:t xml:space="preserve">5 Feb 2001 (see s. 2 and </w:t>
            </w:r>
            <w:r>
              <w:rPr>
                <w:i/>
              </w:rPr>
              <w:t xml:space="preserve">Gazette</w:t>
            </w:r>
            <w:r>
              <w:rPr/>
              <w:t xml:space="preserve"> 30 Jan 2001 p. 615)</w:t>
            </w:r>
          </w:p>
        </w:tc>
      </w:tr>
      <w:tr>
        <w:trPr>
          <w:cantSplit/>
        </w:trPr>
        <w:tc>
          <w:p>
            <w:pPr>
              <w:pStyle w:val="Table01Row"/>
            </w:pPr>
            <w:r>
              <w:rPr>
                <w:i/>
              </w:rPr>
              <w:t>Corporations (Consequential Amendments) Act 2001</w:t>
            </w:r>
            <w:r>
              <w:t xml:space="preserve"> </w:t>
              <w:t>s. 220</w:t>
            </w:r>
          </w:p>
        </w:tc>
        <w:tc>
          <w:p>
            <w:pPr>
              <w:pStyle w:val="Table01Row"/>
            </w:pPr>
            <w:r>
              <w:t>2001/010</w:t>
            </w:r>
          </w:p>
        </w:tc>
        <w:tc>
          <w:p>
            <w:pPr>
              <w:pStyle w:val="Table01Row"/>
            </w:pPr>
            <w:r>
              <w:t>28 Jun 2001</w:t>
            </w:r>
          </w:p>
        </w:tc>
        <w:tc>
          <w:p>
            <w:pPr>
              <w:pStyle w:val="Table01Row"/>
            </w:pPr>
            <w:r>
              <w:rPr/>
              <w:t xml:space="preserve">15 Jul 2001 (see s. 2 and </w:t>
            </w:r>
            <w:r>
              <w:rPr>
                <w:i/>
              </w:rPr>
              <w:t xml:space="preserve">Gazette</w:t>
            </w:r>
            <w:r>
              <w:rPr/>
              <w:t xml:space="preserve"> 29 Jun 2001 p. 3257 and Cwlth. </w:t>
            </w:r>
            <w:r>
              <w:rPr>
                <w:i/>
              </w:rPr>
              <w:t xml:space="preserve">Gazette</w:t>
            </w:r>
            <w:r>
              <w:rPr/>
              <w:t xml:space="preserve"> 13 Jul 2001 No. S285)</w:t>
            </w:r>
          </w:p>
        </w:tc>
      </w:tr>
      <w:tr>
        <w:trPr>
          <w:cantSplit/>
        </w:trPr>
        <w:tc>
          <w:tcPr>
            <w:gridSpan w:val="4"/>
          </w:tcPr>
          <w:p>
            <w:pPr>
              <w:pStyle w:val="Table01Row"/>
            </w:pPr>
            <w:r>
              <w:rPr>
                <w:b/>
              </w:rPr>
              <w:t>Reprinted as at 2 Nov 2001 (not including 1999/057)</w:t>
            </w:r>
          </w:p>
        </w:tc>
      </w:tr>
      <w:tr>
        <w:trPr>
          <w:cantSplit/>
        </w:trPr>
        <w:tc>
          <w:p>
            <w:pPr>
              <w:pStyle w:val="Table01Row"/>
            </w:pPr>
            <w:r>
              <w:rPr>
                <w:i/>
              </w:rPr>
              <w:t>Machinery of Government (Planning and Infrastructure) Amendment Act 2002</w:t>
            </w:r>
            <w:r>
              <w:t xml:space="preserve"> </w:t>
              <w:t>s. 61</w:t>
            </w:r>
          </w:p>
        </w:tc>
        <w:tc>
          <w:p>
            <w:pPr>
              <w:pStyle w:val="Table01Row"/>
            </w:pPr>
            <w:r>
              <w:t>2002/007</w:t>
            </w:r>
          </w:p>
        </w:tc>
        <w:tc>
          <w:p>
            <w:pPr>
              <w:pStyle w:val="Table01Row"/>
            </w:pPr>
            <w:r>
              <w:t>19 Jun 2002</w:t>
            </w:r>
          </w:p>
        </w:tc>
        <w:tc>
          <w:p>
            <w:pPr>
              <w:pStyle w:val="Table01Row"/>
            </w:pPr>
            <w:r>
              <w:rPr/>
              <w:t xml:space="preserve">1 Jul 2002 (see s. 2 and </w:t>
            </w:r>
            <w:r>
              <w:rPr>
                <w:i/>
              </w:rPr>
              <w:t xml:space="preserve">Gazette</w:t>
            </w:r>
            <w:r>
              <w:rPr/>
              <w:t xml:space="preserve"> 28 Jun 2002 p. 3037)</w:t>
            </w:r>
          </w:p>
        </w:tc>
      </w:tr>
      <w:tr>
        <w:trPr>
          <w:cantSplit/>
        </w:trPr>
        <w:tc>
          <w:p>
            <w:pPr>
              <w:pStyle w:val="Table01Row"/>
            </w:pPr>
            <w:r>
              <w:rPr>
                <w:i/>
              </w:rPr>
              <w:t>Fines, Penalties and Infringement Notices Enforcement Amendment Act 2003</w:t>
            </w:r>
          </w:p>
        </w:tc>
        <w:tc>
          <w:p>
            <w:pPr>
              <w:pStyle w:val="Table01Row"/>
            </w:pPr>
            <w:r>
              <w:t>2003/014</w:t>
            </w:r>
          </w:p>
        </w:tc>
        <w:tc>
          <w:p>
            <w:pPr>
              <w:pStyle w:val="Table01Row"/>
            </w:pPr>
            <w:r>
              <w:t>17 Apr 2003</w:t>
            </w:r>
          </w:p>
        </w:tc>
        <w:tc>
          <w:p>
            <w:pPr>
              <w:pStyle w:val="Table01Row"/>
            </w:pPr>
            <w:r>
              <w:rPr/>
              <w:t xml:space="preserve">17 Apr 2003 (see s. 2)</w:t>
            </w:r>
          </w:p>
        </w:tc>
      </w:tr>
      <w:tr>
        <w:trPr>
          <w:cantSplit/>
        </w:trPr>
        <w:tc>
          <w:p>
            <w:pPr>
              <w:pStyle w:val="Table01Row"/>
            </w:pPr>
            <w:r>
              <w:rPr>
                <w:i/>
              </w:rPr>
              <w:t>Sentencing Legislation Amendment and Repeal Act 2003</w:t>
            </w:r>
            <w:r>
              <w:t xml:space="preserve"> </w:t>
              <w:t>s. 29(3)</w:t>
            </w:r>
          </w:p>
        </w:tc>
        <w:tc>
          <w:p>
            <w:pPr>
              <w:pStyle w:val="Table01Row"/>
            </w:pPr>
            <w:r>
              <w:t>2003/050</w:t>
            </w:r>
          </w:p>
        </w:tc>
        <w:tc>
          <w:p>
            <w:pPr>
              <w:pStyle w:val="Table01Row"/>
            </w:pPr>
            <w:r>
              <w:t>9 Jul 2003</w:t>
            </w:r>
          </w:p>
        </w:tc>
        <w:tc>
          <w:p>
            <w:pPr>
              <w:pStyle w:val="Table01Row"/>
            </w:pPr>
            <w:r>
              <w:rPr/>
              <w:t xml:space="preserve">31 Aug 2003 (see s. 2 and </w:t>
            </w:r>
            <w:r>
              <w:rPr>
                <w:i/>
              </w:rPr>
              <w:t xml:space="preserve">Gazette</w:t>
            </w:r>
            <w:r>
              <w:rPr/>
              <w:t xml:space="preserve"> 29 Aug 2003 p. 3833)</w:t>
            </w:r>
          </w:p>
        </w:tc>
      </w:tr>
      <w:tr>
        <w:trPr>
          <w:cantSplit/>
        </w:trPr>
        <w:tc>
          <w:p>
            <w:pPr>
              <w:pStyle w:val="Table01Row"/>
            </w:pPr>
            <w:r>
              <w:rPr>
                <w:i/>
              </w:rPr>
              <w:t>Courts Legislation Amendment and Repeal Act 2004</w:t>
            </w:r>
            <w:r>
              <w:t xml:space="preserve"> </w:t>
              <w:t>Pt. 13</w:t>
            </w:r>
          </w:p>
        </w:tc>
        <w:tc>
          <w:p>
            <w:pPr>
              <w:pStyle w:val="Table01Row"/>
            </w:pPr>
            <w:r>
              <w:t>2004/059</w:t>
            </w:r>
          </w:p>
        </w:tc>
        <w:tc>
          <w:p>
            <w:pPr>
              <w:pStyle w:val="Table01Row"/>
            </w:pPr>
            <w:r>
              <w:t>23 Nov 2004</w:t>
            </w:r>
          </w:p>
        </w:tc>
        <w:tc>
          <w:p>
            <w:pPr>
              <w:pStyle w:val="Table01Row"/>
            </w:pPr>
            <w:r>
              <w:rPr/>
              <w:t xml:space="preserve">1 May 2005 (see s. 2 and </w:t>
            </w:r>
            <w:r>
              <w:rPr>
                <w:i/>
              </w:rPr>
              <w:t xml:space="preserve">Gazette</w:t>
            </w:r>
            <w:r>
              <w:rPr/>
              <w:t xml:space="preserve"> 31 Dec 2004 p. 7128)</w:t>
            </w:r>
          </w:p>
        </w:tc>
      </w:tr>
      <w:tr>
        <w:trPr>
          <w:cantSplit/>
        </w:trPr>
        <w:tc>
          <w:p>
            <w:pPr>
              <w:pStyle w:val="Table01Row"/>
            </w:pPr>
            <w:r>
              <w:rPr>
                <w:i/>
              </w:rPr>
              <w:t>Criminal Procedure and Appeals (Consequential and Other Provisions) Act 2004</w:t>
            </w:r>
            <w:r>
              <w:t xml:space="preserve"> </w:t>
              <w:t>Pt. 9 &amp; s. 80</w:t>
            </w:r>
          </w:p>
        </w:tc>
        <w:tc>
          <w:p>
            <w:pPr>
              <w:pStyle w:val="Table01Row"/>
            </w:pPr>
            <w:r>
              <w:t>2004/084</w:t>
            </w:r>
          </w:p>
        </w:tc>
        <w:tc>
          <w:p>
            <w:pPr>
              <w:pStyle w:val="Table01Row"/>
            </w:pPr>
            <w:r>
              <w:t>16 Dec 2004</w:t>
            </w:r>
          </w:p>
        </w:tc>
        <w:tc>
          <w:p>
            <w:pPr>
              <w:pStyle w:val="Table01Row"/>
            </w:pPr>
            <w:r>
              <w:rPr/>
              <w:t xml:space="preserve">2 May 2005 (see s. 2 and </w:t>
            </w:r>
            <w:r>
              <w:rPr>
                <w:i/>
              </w:rPr>
              <w:t xml:space="preserve">Gazette</w:t>
            </w:r>
            <w:r>
              <w:rPr/>
              <w:t xml:space="preserve"> 31 Dec 2004 p. 7129 (correction in </w:t>
            </w:r>
            <w:r>
              <w:rPr>
                <w:i/>
              </w:rPr>
              <w:t xml:space="preserve">Gazette</w:t>
            </w:r>
            <w:r>
              <w:rPr/>
              <w:t xml:space="preserve"> 7 Jan 2005 p. 53))</w:t>
            </w:r>
          </w:p>
        </w:tc>
      </w:tr>
      <w:tr>
        <w:trPr>
          <w:cantSplit/>
        </w:trPr>
        <w:tc>
          <w:tcPr>
            <w:gridSpan w:val="4"/>
          </w:tcPr>
          <w:p>
            <w:pPr>
              <w:pStyle w:val="Table01Row"/>
            </w:pPr>
            <w:r>
              <w:rPr>
                <w:b/>
              </w:rPr>
              <w:t>Reprint 3 as at 9 Dec 2005 </w:t>
            </w:r>
          </w:p>
        </w:tc>
      </w:tr>
      <w:tr>
        <w:trPr>
          <w:cantSplit/>
        </w:trPr>
        <w:tc>
          <w:p>
            <w:pPr>
              <w:pStyle w:val="Table01Row"/>
            </w:pPr>
            <w:r>
              <w:rPr>
                <w:i/>
              </w:rPr>
              <w:t>Road Traffic Amendment Act 2006</w:t>
            </w:r>
            <w:r>
              <w:t xml:space="preserve"> </w:t>
              <w:t>Pt. 4 Div. 1</w:t>
            </w:r>
          </w:p>
        </w:tc>
        <w:tc>
          <w:p>
            <w:pPr>
              <w:pStyle w:val="Table01Row"/>
            </w:pPr>
            <w:r>
              <w:t>2006/054</w:t>
            </w:r>
          </w:p>
        </w:tc>
        <w:tc>
          <w:p>
            <w:pPr>
              <w:pStyle w:val="Table01Row"/>
            </w:pPr>
            <w:r>
              <w:t>26 Oct 2006</w:t>
            </w:r>
          </w:p>
        </w:tc>
        <w:tc>
          <w:p>
            <w:pPr>
              <w:pStyle w:val="Table01Row"/>
            </w:pPr>
            <w:r>
              <w:rPr/>
              <w:t xml:space="preserve">30 Jun 2008 (see s. 2 and </w:t>
            </w:r>
            <w:r>
              <w:rPr>
                <w:i/>
              </w:rPr>
              <w:t xml:space="preserve">Gazette</w:t>
            </w:r>
            <w:r>
              <w:rPr/>
              <w:t xml:space="preserve"> 10 Jun 2008 p. 2471)</w:t>
            </w:r>
          </w:p>
        </w:tc>
      </w:tr>
      <w:tr>
        <w:trPr>
          <w:cantSplit/>
        </w:trPr>
        <w:tc>
          <w:p>
            <w:pPr>
              <w:pStyle w:val="Table01Row"/>
            </w:pPr>
            <w:r>
              <w:rPr>
                <w:i/>
              </w:rPr>
              <w:t>Prisons and Sentencing Legislation Amendment Act 2006</w:t>
            </w:r>
            <w:r>
              <w:t xml:space="preserve"> </w:t>
              <w:t>Pt. 8</w:t>
            </w:r>
          </w:p>
        </w:tc>
        <w:tc>
          <w:p>
            <w:pPr>
              <w:pStyle w:val="Table01Row"/>
            </w:pPr>
            <w:r>
              <w:t>2006/065</w:t>
            </w:r>
          </w:p>
        </w:tc>
        <w:tc>
          <w:p>
            <w:pPr>
              <w:pStyle w:val="Table01Row"/>
            </w:pPr>
            <w:r>
              <w:t>8 Dec 2006</w:t>
            </w:r>
          </w:p>
        </w:tc>
        <w:tc>
          <w:p>
            <w:pPr>
              <w:pStyle w:val="Table01Row"/>
            </w:pPr>
            <w:r>
              <w:rPr/>
              <w:t xml:space="preserve">4 Apr 2007 (see s. 2 and </w:t>
            </w:r>
            <w:r>
              <w:rPr>
                <w:i/>
              </w:rPr>
              <w:t xml:space="preserve">Gazette</w:t>
            </w:r>
            <w:r>
              <w:rPr/>
              <w:t xml:space="preserve"> 3 Apr 2007 p. 1491)</w:t>
            </w:r>
          </w:p>
        </w:tc>
      </w:tr>
      <w:tr>
        <w:trPr>
          <w:cantSplit/>
        </w:trPr>
        <w:tc>
          <w:p>
            <w:pPr>
              <w:pStyle w:val="Table01Row"/>
            </w:pPr>
            <w:r>
              <w:rPr>
                <w:i/>
              </w:rPr>
              <w:t>Financial Legislation Amendment and Repeal Act 2006</w:t>
            </w:r>
            <w:r>
              <w:t xml:space="preserve"> </w:t>
              <w:t>s. 4</w:t>
            </w:r>
          </w:p>
        </w:tc>
        <w:tc>
          <w:p>
            <w:pPr>
              <w:pStyle w:val="Table01Row"/>
            </w:pPr>
            <w:r>
              <w:t>2006/077</w:t>
            </w:r>
          </w:p>
        </w:tc>
        <w:tc>
          <w:p>
            <w:pPr>
              <w:pStyle w:val="Table01Row"/>
            </w:pPr>
            <w:r>
              <w:t>21 Dec 2006</w:t>
            </w:r>
          </w:p>
        </w:tc>
        <w:tc>
          <w:p>
            <w:pPr>
              <w:pStyle w:val="Table01Row"/>
            </w:pPr>
            <w:r>
              <w:rPr/>
              <w:t xml:space="preserve">1 Feb 2007 (see s. 2(1) and </w:t>
            </w:r>
            <w:r>
              <w:rPr>
                <w:i/>
              </w:rPr>
              <w:t xml:space="preserve">Gazette</w:t>
            </w:r>
            <w:r>
              <w:rPr/>
              <w:t xml:space="preserve"> 19 Jan 2007 p. 137)</w:t>
            </w:r>
          </w:p>
        </w:tc>
      </w:tr>
      <w:tr>
        <w:trPr>
          <w:cantSplit/>
        </w:trPr>
        <w:tc>
          <w:p>
            <w:pPr>
              <w:pStyle w:val="Table01Row"/>
            </w:pPr>
            <w:r>
              <w:rPr>
                <w:i/>
              </w:rPr>
              <w:t>Fines Legislation Amendment Act 2008</w:t>
            </w:r>
            <w:r>
              <w:t xml:space="preserve"> </w:t>
              <w:t>Pt. 2 (s. 3‑16)</w:t>
            </w:r>
          </w:p>
        </w:tc>
        <w:tc>
          <w:p>
            <w:pPr>
              <w:pStyle w:val="Table01Row"/>
            </w:pPr>
            <w:r>
              <w:t>2008/003</w:t>
            </w:r>
          </w:p>
        </w:tc>
        <w:tc>
          <w:p>
            <w:pPr>
              <w:pStyle w:val="Table01Row"/>
            </w:pPr>
            <w:r>
              <w:t>12 Mar 2008</w:t>
            </w:r>
          </w:p>
        </w:tc>
        <w:tc>
          <w:p>
            <w:pPr>
              <w:pStyle w:val="Table01Row"/>
            </w:pPr>
            <w:r>
              <w:rPr/>
              <w:t xml:space="preserve">s. 12(3): 28 Mar 2008 (see s. 2(b));</w:t>
            </w:r>
          </w:p>
          <w:p>
            <w:pPr>
              <w:pStyle w:val="Table01Row"/>
            </w:pPr>
            <w:r>
              <w:rPr/>
              <w:t xml:space="preserve">Pt. 2 other than s. 12(3): 28 Mar 2008 (see s. 2(c) and </w:t>
            </w:r>
            <w:r>
              <w:rPr>
                <w:i/>
              </w:rPr>
              <w:t xml:space="preserve">Gazette</w:t>
            </w:r>
            <w:r>
              <w:rPr/>
              <w:t xml:space="preserve"> 27 Mar 2008 p. 899)</w:t>
            </w:r>
          </w:p>
        </w:tc>
      </w:tr>
      <w:tr>
        <w:trPr>
          <w:cantSplit/>
        </w:trPr>
        <w:tc>
          <w:tcPr>
            <w:gridSpan w:val="4"/>
          </w:tcPr>
          <w:p>
            <w:pPr>
              <w:pStyle w:val="Table01Row"/>
            </w:pPr>
            <w:r>
              <w:rPr>
                <w:b/>
              </w:rPr>
              <w:t>Reprint 4 as at 8 Aug 2008 </w:t>
            </w:r>
          </w:p>
        </w:tc>
      </w:tr>
      <w:tr>
        <w:trPr>
          <w:cantSplit/>
        </w:trPr>
        <w:tc>
          <w:p>
            <w:pPr>
              <w:pStyle w:val="Table01Row"/>
            </w:pPr>
            <w:r>
              <w:rPr>
                <w:i/>
              </w:rPr>
              <w:t>Fines, Penalties and Infringement Notices Enforcement Amendment (Compensation) Act 2009</w:t>
            </w:r>
          </w:p>
        </w:tc>
        <w:tc>
          <w:p>
            <w:pPr>
              <w:pStyle w:val="Table01Row"/>
            </w:pPr>
            <w:r>
              <w:t>2009/004</w:t>
            </w:r>
          </w:p>
        </w:tc>
        <w:tc>
          <w:p>
            <w:pPr>
              <w:pStyle w:val="Table01Row"/>
            </w:pPr>
            <w:r>
              <w:t>14 May 2009</w:t>
            </w:r>
          </w:p>
        </w:tc>
        <w:tc>
          <w:p>
            <w:pPr>
              <w:pStyle w:val="Table01Row"/>
            </w:pPr>
            <w:r>
              <w:rPr/>
              <w:t xml:space="preserve">s. 1 &amp; 2: 14 May 2009 (see s. 2(a));</w:t>
            </w:r>
          </w:p>
          <w:p>
            <w:pPr>
              <w:pStyle w:val="Table01Row"/>
            </w:pPr>
            <w:r>
              <w:rPr/>
              <w:t xml:space="preserve">Act other than s. 1 &amp; 2: 23 Jun 2009 (see s. 2(b) and </w:t>
            </w:r>
            <w:r>
              <w:rPr>
                <w:i/>
              </w:rPr>
              <w:t xml:space="preserve">Gazette</w:t>
            </w:r>
            <w:r>
              <w:rPr/>
              <w:t xml:space="preserve"> 23 Jun 2009 p. 2423)</w:t>
            </w:r>
          </w:p>
        </w:tc>
      </w:tr>
      <w:tr>
        <w:trPr>
          <w:cantSplit/>
        </w:trPr>
        <w:tc>
          <w:p>
            <w:pPr>
              <w:pStyle w:val="Table01Row"/>
            </w:pPr>
            <w:r>
              <w:rPr>
                <w:i/>
              </w:rPr>
              <w:t>Personal Property Securities (Consequential Repeals and Amendments) Act 2011</w:t>
            </w:r>
            <w:r>
              <w:t xml:space="preserve"> </w:t>
              <w:t>Pt. 3 Div. 2</w:t>
            </w:r>
          </w:p>
        </w:tc>
        <w:tc>
          <w:p>
            <w:pPr>
              <w:pStyle w:val="Table01Row"/>
            </w:pPr>
            <w:r>
              <w:t>2011/042</w:t>
            </w:r>
          </w:p>
        </w:tc>
        <w:tc>
          <w:p>
            <w:pPr>
              <w:pStyle w:val="Table01Row"/>
            </w:pPr>
            <w:r>
              <w:t>4 Oct 2011</w:t>
            </w:r>
          </w:p>
        </w:tc>
        <w:tc>
          <w:p>
            <w:pPr>
              <w:pStyle w:val="Table01Row"/>
            </w:pPr>
            <w:r>
              <w:rPr/>
              <w:t xml:space="preserve">30 Jan 2012 (see s. 2(c) &amp; Cwlth Legislative Instrument No. F2011L02397 cl. 5 registered 21 Nov 2011)</w:t>
            </w:r>
          </w:p>
        </w:tc>
      </w:tr>
      <w:tr>
        <w:trPr>
          <w:cantSplit/>
        </w:trPr>
        <w:tc>
          <w:p>
            <w:pPr>
              <w:pStyle w:val="Table01Row"/>
            </w:pPr>
            <w:r>
              <w:rPr>
                <w:i/>
              </w:rPr>
              <w:t>Statutes (Repeals and Minor Amendments) Act 2011</w:t>
            </w:r>
            <w:r>
              <w:t xml:space="preserve"> </w:t>
              <w:t>s. 27</w:t>
            </w:r>
          </w:p>
        </w:tc>
        <w:tc>
          <w:p>
            <w:pPr>
              <w:pStyle w:val="Table01Row"/>
            </w:pPr>
            <w:r>
              <w:t>2011/047</w:t>
            </w:r>
          </w:p>
        </w:tc>
        <w:tc>
          <w:p>
            <w:pPr>
              <w:pStyle w:val="Table01Row"/>
            </w:pPr>
            <w:r>
              <w:t>25 Oct 2011</w:t>
            </w:r>
          </w:p>
        </w:tc>
        <w:tc>
          <w:p>
            <w:pPr>
              <w:pStyle w:val="Table01Row"/>
            </w:pPr>
            <w:r>
              <w:rPr/>
              <w:t xml:space="preserve">26 Oct 2011 (see s. 2(b))</w:t>
            </w:r>
          </w:p>
        </w:tc>
      </w:tr>
      <w:tr>
        <w:trPr>
          <w:cantSplit/>
        </w:trPr>
        <w:tc>
          <w:p>
            <w:pPr>
              <w:pStyle w:val="Table01Row"/>
            </w:pPr>
            <w:r>
              <w:rPr>
                <w:i/>
              </w:rPr>
              <w:t>Road Traffic Legislation Amendment Act 2012</w:t>
            </w:r>
            <w:r>
              <w:t xml:space="preserve"> </w:t>
              <w:t>Pt. 4 Div. 23</w:t>
            </w:r>
          </w:p>
        </w:tc>
        <w:tc>
          <w:p>
            <w:pPr>
              <w:pStyle w:val="Table01Row"/>
            </w:pPr>
            <w:r>
              <w:t>2012/008</w:t>
            </w:r>
          </w:p>
        </w:tc>
        <w:tc>
          <w:p>
            <w:pPr>
              <w:pStyle w:val="Table01Row"/>
            </w:pPr>
            <w:r>
              <w:t>21 May 2012</w:t>
            </w:r>
          </w:p>
        </w:tc>
        <w:tc>
          <w:p>
            <w:pPr>
              <w:pStyle w:val="Table01Row"/>
            </w:pPr>
            <w:r>
              <w:rPr/>
              <w:t xml:space="preserve">27 Apr 2015 (see s. 2(d) and </w:t>
            </w:r>
            <w:r>
              <w:rPr>
                <w:i/>
              </w:rPr>
              <w:t xml:space="preserve">Gazette</w:t>
            </w:r>
            <w:r>
              <w:rPr/>
              <w:t xml:space="preserve"> 17 Apr 2015 p. 1371)</w:t>
            </w:r>
          </w:p>
        </w:tc>
      </w:tr>
      <w:tr>
        <w:trPr>
          <w:cantSplit/>
        </w:trPr>
        <w:tc>
          <w:p>
            <w:pPr>
              <w:pStyle w:val="Table01Row"/>
            </w:pPr>
            <w:r>
              <w:rPr>
                <w:i/>
              </w:rPr>
              <w:t>Fines, Penalties and Infringement Notices Enforcement Amendment (Taxation) Act 2012</w:t>
            </w:r>
          </w:p>
        </w:tc>
        <w:tc>
          <w:p>
            <w:pPr>
              <w:pStyle w:val="Table01Row"/>
            </w:pPr>
            <w:r>
              <w:t>2012/028</w:t>
            </w:r>
          </w:p>
        </w:tc>
        <w:tc>
          <w:p>
            <w:pPr>
              <w:pStyle w:val="Table01Row"/>
            </w:pPr>
            <w:r>
              <w:t>3 Sep 2012</w:t>
            </w:r>
          </w:p>
        </w:tc>
        <w:tc>
          <w:p>
            <w:pPr>
              <w:pStyle w:val="Table01Row"/>
            </w:pPr>
            <w:r>
              <w:rPr/>
              <w:t xml:space="preserve">s. 1 &amp; 2: 3 Sep 2012 (see s. 2(a));</w:t>
            </w:r>
          </w:p>
          <w:p>
            <w:pPr>
              <w:pStyle w:val="Table01Row"/>
            </w:pPr>
            <w:r>
              <w:rPr/>
              <w:t xml:space="preserve">Act other than s. 1 &amp; 2: 1 May 2013 (see s. 2(b) and </w:t>
            </w:r>
            <w:r>
              <w:rPr>
                <w:i/>
              </w:rPr>
              <w:t xml:space="preserve">Gazette</w:t>
            </w:r>
            <w:r>
              <w:rPr/>
              <w:t xml:space="preserve"> 30 Apr 2013 p. 1687)</w:t>
            </w:r>
          </w:p>
        </w:tc>
      </w:tr>
      <w:tr>
        <w:trPr>
          <w:cantSplit/>
        </w:trPr>
        <w:tc>
          <w:p>
            <w:pPr>
              <w:pStyle w:val="Table01Row"/>
            </w:pPr>
            <w:r>
              <w:rPr>
                <w:i/>
              </w:rPr>
              <w:t>Fines, Penalties and Infringement Notices Enforcement Amendment Act 2012</w:t>
            </w:r>
            <w:r>
              <w:t xml:space="preserve"> </w:t>
              <w:t>Pt. 2</w:t>
            </w:r>
          </w:p>
        </w:tc>
        <w:tc>
          <w:p>
            <w:pPr>
              <w:pStyle w:val="Table01Row"/>
            </w:pPr>
            <w:r>
              <w:t>2012/048</w:t>
            </w:r>
          </w:p>
        </w:tc>
        <w:tc>
          <w:p>
            <w:pPr>
              <w:pStyle w:val="Table01Row"/>
            </w:pPr>
            <w:r>
              <w:t>29 Nov 2012</w:t>
            </w:r>
          </w:p>
        </w:tc>
        <w:tc>
          <w:p>
            <w:pPr>
              <w:pStyle w:val="Table01Row"/>
            </w:pPr>
            <w:r>
              <w:rPr/>
              <w:t xml:space="preserve">Heading to Pt. 2, s. 3, 39, 40, 41(3) &amp; 42: 1 May 2013 (see s. 2(b) and </w:t>
            </w:r>
            <w:r>
              <w:rPr>
                <w:i/>
              </w:rPr>
              <w:t xml:space="preserve">Gazette</w:t>
            </w:r>
            <w:r>
              <w:rPr/>
              <w:t xml:space="preserve"> 30 Apr 2013 p. 1687);</w:t>
            </w:r>
          </w:p>
          <w:p>
            <w:pPr>
              <w:pStyle w:val="Table01Row"/>
            </w:pPr>
            <w:r>
              <w:rPr/>
              <w:t xml:space="preserve">s. 4‑38, 41(1) &amp; (2) &amp; 43: 21 Aug 2013 (see s. 2(b) and </w:t>
            </w:r>
            <w:r>
              <w:rPr>
                <w:i/>
              </w:rPr>
              <w:t xml:space="preserve">Gazette</w:t>
            </w:r>
            <w:r>
              <w:rPr/>
              <w:t xml:space="preserve"> 20 Aug 2013 p. 3815)</w:t>
            </w:r>
          </w:p>
        </w:tc>
      </w:tr>
      <w:tr>
        <w:trPr>
          <w:cantSplit/>
        </w:trPr>
        <w:tc>
          <w:tcPr>
            <w:gridSpan w:val="4"/>
          </w:tcPr>
          <w:p>
            <w:pPr>
              <w:pStyle w:val="Table01Row"/>
            </w:pPr>
            <w:r>
              <w:rPr>
                <w:b/>
              </w:rPr>
              <w:t>Reprint 5 as at 11 Oct 2013 (not including 2012/008)</w:t>
            </w:r>
          </w:p>
        </w:tc>
      </w:tr>
      <w:tr>
        <w:trPr>
          <w:cantSplit/>
        </w:trPr>
        <w:tc>
          <w:p>
            <w:pPr>
              <w:pStyle w:val="Table01Row"/>
            </w:pPr>
            <w:r>
              <w:rPr>
                <w:i/>
              </w:rPr>
              <w:t>Courts and Tribunals (Electronic Processes Facilitation) Act 2013</w:t>
            </w:r>
            <w:r>
              <w:t xml:space="preserve"> </w:t>
              <w:t>Pt. 3 Div. 12 (s. 74‑95)</w:t>
            </w:r>
          </w:p>
        </w:tc>
        <w:tc>
          <w:p>
            <w:pPr>
              <w:pStyle w:val="Table01Row"/>
            </w:pPr>
            <w:r>
              <w:t>2013/020</w:t>
            </w:r>
          </w:p>
        </w:tc>
        <w:tc>
          <w:p>
            <w:pPr>
              <w:pStyle w:val="Table01Row"/>
            </w:pPr>
            <w:r>
              <w:t>4 Nov 2013</w:t>
            </w:r>
          </w:p>
        </w:tc>
        <w:tc>
          <w:p>
            <w:pPr>
              <w:pStyle w:val="Table01Row"/>
            </w:pPr>
            <w:r>
              <w:rPr/>
              <w:t xml:space="preserve">Pt. 3 Div. 12 other than s. 75 &amp; 95: 25 Nov 2013 (see s. 2(b) and </w:t>
            </w:r>
            <w:r>
              <w:rPr>
                <w:i/>
              </w:rPr>
              <w:t xml:space="preserve">Gazette</w:t>
            </w:r>
            <w:r>
              <w:rPr/>
              <w:t xml:space="preserve"> 22 Nov 2013 p. 5391);</w:t>
            </w:r>
          </w:p>
          <w:p>
            <w:pPr>
              <w:pStyle w:val="Table01Row"/>
            </w:pPr>
            <w:r>
              <w:rPr/>
              <w:t xml:space="preserve">s. 75: 14 Nov 2015 (see s. 2(b) and </w:t>
            </w:r>
            <w:r>
              <w:rPr>
                <w:i/>
              </w:rPr>
              <w:t xml:space="preserve">Gazette</w:t>
            </w:r>
            <w:r>
              <w:rPr/>
              <w:t xml:space="preserve"> 13 Nov 2015 p. 4631);</w:t>
            </w:r>
          </w:p>
          <w:p>
            <w:pPr>
              <w:pStyle w:val="Table01Row"/>
            </w:pPr>
            <w:r>
              <w:rPr/>
              <w:t xml:space="preserve">s. 95: to be proclaimed (see s. 2(b))</w:t>
            </w:r>
          </w:p>
        </w:tc>
      </w:tr>
      <w:tr>
        <w:trPr>
          <w:cantSplit/>
        </w:trPr>
        <w:tc>
          <w:p>
            <w:pPr>
              <w:pStyle w:val="Table01Row"/>
            </w:pPr>
            <w:r>
              <w:rPr>
                <w:i/>
              </w:rPr>
              <w:t>Electricity Corporations Amendment Act 2013</w:t>
            </w:r>
            <w:r>
              <w:t xml:space="preserve"> </w:t>
              <w:t>s. 43</w:t>
            </w:r>
          </w:p>
        </w:tc>
        <w:tc>
          <w:p>
            <w:pPr>
              <w:pStyle w:val="Table01Row"/>
            </w:pPr>
            <w:r>
              <w:t>2013/025</w:t>
            </w:r>
          </w:p>
        </w:tc>
        <w:tc>
          <w:p>
            <w:pPr>
              <w:pStyle w:val="Table01Row"/>
            </w:pPr>
            <w:r>
              <w:t>18 Dec 2013</w:t>
            </w:r>
          </w:p>
        </w:tc>
        <w:tc>
          <w:p>
            <w:pPr>
              <w:pStyle w:val="Table01Row"/>
            </w:pPr>
            <w:r>
              <w:rPr/>
              <w:t xml:space="preserve">1 Jan 2014 (see s. 2(c) and </w:t>
            </w:r>
            <w:r>
              <w:rPr>
                <w:i/>
              </w:rPr>
              <w:t xml:space="preserve">Gazette</w:t>
            </w:r>
            <w:r>
              <w:rPr/>
              <w:t xml:space="preserve"> 27 Dec 2013 p. 6465)</w:t>
            </w:r>
          </w:p>
        </w:tc>
      </w:tr>
      <w:tr>
        <w:trPr>
          <w:cantSplit/>
        </w:trPr>
        <w:tc>
          <w:p>
            <w:pPr>
              <w:pStyle w:val="Table01Row"/>
            </w:pPr>
            <w:r>
              <w:rPr>
                <w:i/>
              </w:rPr>
              <w:t>Local Government Legislation Amendment Act 2016</w:t>
            </w:r>
            <w:r>
              <w:t xml:space="preserve"> </w:t>
              <w:t>Pt. 3 Div. 15</w:t>
            </w:r>
          </w:p>
        </w:tc>
        <w:tc>
          <w:p>
            <w:pPr>
              <w:pStyle w:val="Table01Row"/>
            </w:pPr>
            <w:r>
              <w:t>2016/026</w:t>
            </w:r>
          </w:p>
        </w:tc>
        <w:tc>
          <w:p>
            <w:pPr>
              <w:pStyle w:val="Table01Row"/>
            </w:pPr>
            <w:r>
              <w:t>21 Sep 2016</w:t>
            </w:r>
          </w:p>
        </w:tc>
        <w:tc>
          <w:p>
            <w:pPr>
              <w:pStyle w:val="Table01Row"/>
            </w:pPr>
            <w:r>
              <w:rPr/>
              <w:t xml:space="preserve">21 Jan 2017 (see s. 2(b) and </w:t>
            </w:r>
            <w:r>
              <w:rPr>
                <w:i/>
              </w:rPr>
              <w:t xml:space="preserve">Gazette</w:t>
            </w:r>
            <w:r>
              <w:rPr/>
              <w:t xml:space="preserve"> 20 Jan 2017 p. 648)</w:t>
            </w:r>
          </w:p>
        </w:tc>
      </w:tr>
      <w:tr>
        <w:trPr>
          <w:cantSplit/>
        </w:trPr>
        <w:tc>
          <w:tcPr>
            <w:gridSpan w:val="4"/>
          </w:tcPr>
          <w:p>
            <w:pPr>
              <w:pStyle w:val="Table01Row"/>
            </w:pPr>
            <w:r>
              <w:rPr>
                <w:b/>
              </w:rPr>
              <w:t>Reprint 6 as at 24 May 2019 </w:t>
            </w:r>
          </w:p>
        </w:tc>
      </w:tr>
      <w:tr>
        <w:trPr>
          <w:cantSplit/>
        </w:trPr>
        <w:tc>
          <w:p>
            <w:pPr>
              <w:pStyle w:val="Table01Row"/>
            </w:pPr>
            <w:r>
              <w:rPr>
                <w:i/>
              </w:rPr>
              <w:t>Fines, Penalties and Infringement Notices Enforcement Amendment Act 2020</w:t>
            </w:r>
            <w:r>
              <w:t xml:space="preserve"> </w:t>
              <w:t>Pt. 2</w:t>
            </w:r>
          </w:p>
        </w:tc>
        <w:tc>
          <w:p>
            <w:pPr>
              <w:pStyle w:val="Table01Row"/>
            </w:pPr>
            <w:r>
              <w:t>2020/025</w:t>
            </w:r>
          </w:p>
        </w:tc>
        <w:tc>
          <w:p>
            <w:pPr>
              <w:pStyle w:val="Table01Row"/>
            </w:pPr>
            <w:r>
              <w:t>19 Jun 2020</w:t>
            </w:r>
          </w:p>
        </w:tc>
        <w:tc>
          <w:p>
            <w:pPr>
              <w:pStyle w:val="Table01Row"/>
            </w:pPr>
            <w:r>
              <w:rPr/>
              <w:t xml:space="preserve">Pt. 2 Div. 1 &amp; 2 &amp; s. 87 &amp; 103: 20 Jun 2020 (see s. 2(1)(b));</w:t>
            </w:r>
          </w:p>
          <w:p>
            <w:pPr>
              <w:pStyle w:val="Table01Row"/>
            </w:pPr>
            <w:r>
              <w:rPr/>
              <w:t xml:space="preserve">Pt. 2 Div. 3 (other than s. 87): 29 Sep 2020 (see s. 2(1)(c) and SL 2020/159 cl. 2(a)); </w:t>
            </w:r>
          </w:p>
          <w:p>
            <w:pPr>
              <w:pStyle w:val="Table01Row"/>
            </w:pPr>
            <w:r>
              <w:rPr/>
              <w:t xml:space="preserve">Pt. 2 Div. 4 (other than s. 103): 30 Sep 2020 (see s. 2(1)(d) and SL 2020/159 cl. 2(b))</w:t>
            </w:r>
          </w:p>
        </w:tc>
      </w:tr>
      <w:tr>
        <w:trPr>
          <w:cantSplit/>
        </w:trPr>
        <w:tc>
          <w:p>
            <w:pPr>
              <w:pStyle w:val="Table01Row"/>
            </w:pPr>
            <w:r>
              <w:rPr>
                <w:i/>
              </w:rPr>
              <w:t>Criminal Appeals Amendment Act 2022</w:t>
            </w:r>
            <w:r>
              <w:t xml:space="preserve"> </w:t>
              <w:t>Pt. 3 Div. 3</w:t>
            </w:r>
          </w:p>
        </w:tc>
        <w:tc>
          <w:p>
            <w:pPr>
              <w:pStyle w:val="Table01Row"/>
            </w:pPr>
            <w:r>
              <w:t>2022/018</w:t>
            </w:r>
          </w:p>
        </w:tc>
        <w:tc>
          <w:p>
            <w:pPr>
              <w:pStyle w:val="Table01Row"/>
            </w:pPr>
            <w:r>
              <w:t>24 Jun 2022</w:t>
            </w:r>
          </w:p>
        </w:tc>
        <w:tc>
          <w:p>
            <w:pPr>
              <w:pStyle w:val="Table01Row"/>
            </w:pPr>
            <w:r>
              <w:rPr/>
              <w:t xml:space="preserve">1 Jan 2023 (see s. 2(b) and SL 2022/212 cl. 2)</w:t>
            </w:r>
          </w:p>
        </w:tc>
      </w:tr>
      <w:tr>
        <w:trPr>
          <w:cantSplit/>
        </w:trPr>
        <w:tc>
          <w:p>
            <w:pPr>
              <w:pStyle w:val="Table01Row"/>
            </w:pPr>
            <w:r>
              <w:rPr>
                <w:i/>
              </w:rPr>
              <w:t>Criminal Law (Mental Impairment) Act 2023</w:t>
            </w:r>
            <w:r>
              <w:t xml:space="preserve"> </w:t>
              <w:t>Pt. 15 Div. 15</w:t>
            </w:r>
          </w:p>
        </w:tc>
        <w:tc>
          <w:p>
            <w:pPr>
              <w:pStyle w:val="Table01Row"/>
            </w:pPr>
            <w:r>
              <w:t>2023/010</w:t>
            </w:r>
          </w:p>
        </w:tc>
        <w:tc>
          <w:p>
            <w:pPr>
              <w:pStyle w:val="Table01Row"/>
            </w:pPr>
            <w:r>
              <w:t>13 Apr 2023</w:t>
            </w:r>
          </w:p>
        </w:tc>
        <w:tc>
          <w:p>
            <w:pPr>
              <w:pStyle w:val="Table01Row"/>
            </w:pPr>
            <w:r>
              <w:rPr/>
              <w:t xml:space="preserve">To be proclaimed (see s. 2(b))</w:t>
            </w:r>
          </w:p>
        </w:tc>
      </w:tr>
    </w:tbl>
    <w:sectPr>
      <w:headerReference w:type="even" r:id="rId8"/>
      <w:headerReference w:type="default" r:id="rId9"/>
      <w:footerReference w:type="even" r:id="rId10"/>
      <w:footerReference w:type="default" r:id="rId11"/>
      <w:pgSz w:w="11906" w:h="16838" w:code="9"/>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pP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rPr>
        <w:sz w:val="10"/>
      </w:rPr>
    </w:pPr>
    <w:r>
      <w:tab/>
    </w: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rPr>
        <w:b/>
      </w:rPr>
      <w:fldChar w:fldCharType="begin"/>
    </w:r>
    <w:r>
      <w:rPr>
        <w:b/>
      </w:rPr>
      <w:instrText xml:space="preserve"> STYLEREF  IAlphabetDivider </w:instrText>
    </w:r>
    <w:r>
      <w:rPr>
        <w:b/>
      </w:rPr>
      <w:fldChar w:fldCharType="separate"/>
    </w:r>
    <w:r>
      <w:rPr>
        <w:b/>
      </w:rPr>
      <w:t>Error! No text of specified style in document.</w:t>
    </w:r>
    <w:r>
      <w:rPr>
        <w:b/>
      </w:rPr>
      <w:fldChar w:fldCharType="end"/>
    </w:r>
    <w:r>
      <w:tab/>
      <w:t xml:space="preserve">Table 1 — Acts in force</w:t>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tab/>
      <w:t xml:space="preserve">Table 1 — Acts in force</w:t>
    </w:r>
    <w:r>
      <w:tab/>
    </w:r>
    <w:r>
      <w:rPr>
        <w:b/>
      </w:rPr>
      <w:fldChar w:fldCharType="begin"/>
    </w:r>
    <w:r>
      <w:rPr>
        <w:b/>
      </w:rPr>
      <w:instrText xml:space="preserve"> STYLEREF  IAlphabetDivider </w:instrText>
    </w:r>
    <w:r>
      <w:rPr>
        <w:b/>
      </w:rPr>
      <w:fldChar w:fldCharType="separate"/>
    </w:r>
    <w:r>
      <w:rPr>
        <w:b/>
        <w:lang w:val="en-US"/>
      </w:rPr>
      <w:t>Error! No text of specified style in document.</w:t>
    </w:r>
    <w:r>
      <w:rPr>
        <w:b/>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tblHeader/>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2"/>
  </w:num>
  <w:num w:numId="11">
    <w:abstractNumId w:val="16"/>
  </w:num>
  <w:num w:numId="12">
    <w:abstractNumId w:val="18"/>
  </w:num>
  <w:num w:numId="13">
    <w:abstractNumId w:val="11"/>
  </w:num>
  <w:num w:numId="14">
    <w:abstractNumId w:val="2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proofState w:spelling="clean" w:grammar="clean"/>
  <w:defaultTabStop w:val="720"/>
  <w:hyphenationZone w:val="86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1DF542-39DD-4A5F-8DB7-8839CA7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pPr>
      <w:tabs>
        <w:tab w:val="left" w:pos="284"/>
        <w:tab w:val="center" w:pos="5103"/>
        <w:tab w:val="right" w:pos="9923"/>
      </w:tabs>
      <w:spacing w:after="80"/>
    </w:pPr>
  </w:style>
  <w:style w:type="paragraph" w:styleId="Footer">
    <w:name w:val="footer"/>
    <w:semiHidden/>
    <w:pPr>
      <w:jc w:val="center"/>
    </w:pPr>
    <w:rPr>
      <w:sz w:val="16"/>
    </w:rPr>
  </w:style>
  <w:style w:type="paragraph" w:customStyle="1" w:styleId="IFooter">
    <w:name w:val="IFooter"/>
    <w:semiHidden/>
    <w:pPr>
      <w:pBdr>
        <w:top w:val="single" w:sz="4" w:space="1" w:color="auto"/>
      </w:pBdr>
      <w:tabs>
        <w:tab w:val="right" w:pos="10206"/>
      </w:tabs>
      <w:spacing w:line="260" w:lineRule="atLeast"/>
    </w:pPr>
    <w:rPr>
      <w:i/>
      <w:snapToGrid w:val="0"/>
      <w:sz w:val="16"/>
      <w:lang w:eastAsia="en-US"/>
    </w:rPr>
  </w:style>
  <w:style w:type="paragraph" w:styleId="DocumentMap">
    <w:name w:val="Document Map"/>
    <w:basedOn w:val="Normal"/>
    <w:semiHidden/>
    <w:pPr>
      <w:shd w:val="clear" w:color="auto" w:fill="000080"/>
    </w:pPr>
    <w:rPr>
      <w:rFonts w:ascii="Tahoma" w:hAnsi="Tahoma"/>
    </w:rPr>
  </w:style>
  <w:style w:type="paragraph" w:customStyle="1" w:styleId="IAlphabetDivider">
    <w:name w:val="IAlphabetDivider"/>
    <w:pPr>
      <w:pageBreakBefore/>
      <w:suppressAutoHyphens/>
      <w:jc w:val="center"/>
      <w:outlineLvl w:val="1"/>
    </w:pPr>
    <w:rPr>
      <w:sz w:val="28"/>
    </w:rPr>
  </w:style>
  <w:style w:type="paragraph" w:customStyle="1" w:styleId="ITable">
    <w:name w:val="ITable"/>
    <w:pPr>
      <w:suppressAutoHyphens/>
      <w:jc w:val="center"/>
      <w:outlineLvl w:val="0"/>
    </w:pPr>
    <w:rPr>
      <w:b/>
      <w:sz w:val="32"/>
    </w:rPr>
  </w:style>
  <w:style w:type="paragraph" w:customStyle="1" w:styleId="IActName">
    <w:name w:val="IActName"/>
    <w:basedOn w:val="Normal"/>
    <w:pPr>
      <w:keepNext/>
      <w:suppressAutoHyphens/>
      <w:spacing w:before="240"/>
      <w:ind w:left="284" w:hanging="284"/>
      <w:outlineLvl w:val="2"/>
    </w:pPr>
    <w:rPr>
      <w:b/>
      <w:i/>
      <w:sz w:val="24"/>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jc w:val="center"/>
    </w:pPr>
    <w:rPr>
      <w:sz w:val="24"/>
    </w:rPr>
  </w:style>
  <w:style w:type="paragraph" w:customStyle="1" w:styleId="Highlight">
    <w:name w:val="Highlight"/>
    <w:pPr>
      <w:spacing w:before="120" w:after="60"/>
      <w:ind w:left="284" w:hanging="284"/>
      <w:jc w:val="both"/>
    </w:pPr>
    <w:rPr>
      <w:sz w:val="28"/>
    </w:rPr>
  </w:style>
  <w:style w:type="paragraph" w:customStyle="1" w:styleId="Notes">
    <w:name w:val="Notes"/>
  </w:style>
  <w:style w:type="paragraph" w:customStyle="1" w:styleId="Table01Row">
    <w:name w:val="Table01Row"/>
    <w:qFormat/>
    <w:pPr>
      <w:spacing w:before="40" w:after="40"/>
    </w:pPr>
    <w:rPr>
      <w:sz w:val="18"/>
    </w:rPr>
  </w:style>
  <w:style w:type="paragraph" w:customStyle="1" w:styleId="Table01Hdr">
    <w:name w:val="Table01Hdr"/>
    <w:qFormat/>
    <w:pPr>
      <w:jc w:val="center"/>
    </w:pPr>
    <w:rPr>
      <w:b/>
    </w:rPr>
  </w:style>
  <w:style w:type="paragraph" w:customStyle="1" w:styleId="Table01Note">
    <w:name w:val="Table01Note"/>
    <w:qFormat/>
    <w:pPr>
      <w:keepNext/>
      <w:spacing w:before="80" w:after="40"/>
      <w:ind w:left="113"/>
    </w:pPr>
    <w:rPr>
      <w:sz w:val="18"/>
    </w:rPr>
  </w:style>
  <w:style w:type="paragraph" w:customStyle="1" w:styleId="Table01BNote">
    <w:name w:val="Table01BNote"/>
    <w:qFormat/>
    <w:pPr>
      <w:spacing w:before="40" w:after="40"/>
      <w:ind w:left="170" w:hanging="170"/>
    </w:pPr>
    <w:rPr>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 — Acts in force</vt:lpstr>
    </vt:vector>
  </TitlesOfParts>
  <LinksUpToDate>false</LinksUpToDate>
  <CharactersWithSpaces>1722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Acts in force</dc:title>
  <cp:revision>24</cp:revision>
  <cp:category/>
  <dc:creator>Tables Generator</dc:creator>
</cp:coreProperties>
</file>

<file path=docProps/custom.xml><?xml version="1.0" encoding="utf-8"?>
<Properties xmlns="http://schemas.openxmlformats.org/officeDocument/2006/custom-properties" xmlns:vt="http://schemas.openxmlformats.org/officeDocument/2006/docPropsVTypes">
  <property pid="2" name="Citation" fmtid="{D5CDD505-2E9C-101B-9397-08002B2CF9AE}">
    <vt:lpwstr>Fines, Penalties and Infringement Notices Enforcement Act 1994</vt:lpwstr>
  </property>
  <property pid="3" name="IDAct" fmtid="{D5CDD505-2E9C-101B-9397-08002B2CF9AE}">
    <vt:lpwstr>277</vt:lpwstr>
  </property>
  <property pid="4" name="ChangedDate" fmtid="{D5CDD505-2E9C-101B-9397-08002B2CF9AE}">
    <vt:lpwstr>20210421010822</vt:lpwstr>
  </property>
</Properties>
</file>