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Alcohol and Other Drugs Act 1974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Alcohol and Drug Authority Act 1974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Mental Health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Mental Health Commission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Alcohol and Drug Authority Act 1974</w:t>
            </w:r>
          </w:p>
        </w:tc>
        <w:tc>
          <w:p>
            <w:pPr>
              <w:pStyle w:val="Table01Row"/>
            </w:pPr>
            <w:r>
              <w:t>1974/032</w:t>
            </w:r>
          </w:p>
        </w:tc>
        <w:tc>
          <w:p>
            <w:pPr>
              <w:pStyle w:val="Table01Row"/>
            </w:pPr>
            <w:r>
              <w:t>4 Nov 1974</w:t>
            </w:r>
          </w:p>
        </w:tc>
        <w:tc>
          <w:p>
            <w:pPr>
              <w:pStyle w:val="Table01Row"/>
            </w:pPr>
            <w:r>
              <w:rPr/>
              <w:t xml:space="preserve">29 Nov 1974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Nov 1974 p. 5167)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(Disqualification for Parliament) Act 1984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1984/078</w:t>
            </w:r>
          </w:p>
        </w:tc>
        <w:tc>
          <w:p>
            <w:pPr>
              <w:pStyle w:val="Table01Row"/>
            </w:pPr>
            <w:r>
              <w:t>14 Nov 1984</w:t>
            </w:r>
          </w:p>
        </w:tc>
        <w:tc>
          <w:p>
            <w:pPr>
              <w:pStyle w:val="Table01Row"/>
            </w:pPr>
            <w:r>
              <w:rPr/>
              <w:t xml:space="preserve">1 Jul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May 1985 p. 1671)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</w:t>
              <w:t>s. 32</w:t>
            </w:r>
          </w:p>
        </w:tc>
        <w:tc>
          <w:p>
            <w:pPr>
              <w:pStyle w:val="Table01Row"/>
            </w:pPr>
            <w:r>
              <w:t>1987/113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Mar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Mar 1988 p. 813)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</w:t>
              <w:t>s. 123</w:t>
            </w:r>
          </w:p>
        </w:tc>
        <w:tc>
          <w:p>
            <w:pPr>
              <w:pStyle w:val="Table01Row"/>
            </w:pPr>
            <w:r>
              <w:t>1990/024</w:t>
            </w:r>
          </w:p>
        </w:tc>
        <w:tc>
          <w:p>
            <w:pPr>
              <w:pStyle w:val="Table01Row"/>
            </w:pPr>
            <w:r>
              <w:t>7 Sep 1990</w:t>
            </w:r>
          </w:p>
        </w:tc>
        <w:tc>
          <w:p>
            <w:pPr>
              <w:pStyle w:val="Table01Row"/>
            </w:pPr>
            <w:r>
              <w:rPr/>
              <w:t xml:space="preserve">20 Oct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Oct 1992 p. 4811)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48 &amp; 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1997/001</w:t>
            </w:r>
          </w:p>
        </w:tc>
        <w:tc>
          <w:p>
            <w:pPr>
              <w:pStyle w:val="Table01Row"/>
            </w:pPr>
            <w:r>
              <w:t>6 May 1997</w:t>
            </w:r>
          </w:p>
        </w:tc>
        <w:tc>
          <w:p>
            <w:pPr>
              <w:pStyle w:val="Table01Row"/>
            </w:pPr>
            <w:r>
              <w:rPr/>
              <w:t xml:space="preserve">16 Jun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Jun 1997 p. 2661)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76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Apr 1999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29</w:t>
            </w:r>
          </w:p>
        </w:tc>
        <w:tc>
          <w:p>
            <w:pPr>
              <w:pStyle w:val="Table01Row"/>
            </w:pPr>
            <w:r>
              <w:t>2000/043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8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</w:t>
              <w:t>Sch. 3 cl. 2</w:t>
            </w:r>
          </w:p>
        </w:tc>
        <w:tc>
          <w:p>
            <w:pPr>
              <w:pStyle w:val="Table01Row"/>
            </w:pPr>
            <w:r>
              <w:t>2008/022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Dec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2008 p. 4989)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8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5 Feb 2010 (not including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</w:t>
              <w:t>Pt. 5 Div. 2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90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Alcohol and Drug Authority Amendment Act 2015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2015/003</w:t>
            </w:r>
          </w:p>
        </w:tc>
        <w:tc>
          <w:p>
            <w:pPr>
              <w:pStyle w:val="Table01Row"/>
            </w:pPr>
            <w:r>
              <w:t>25 Feb 2015</w:t>
            </w:r>
          </w:p>
        </w:tc>
        <w:tc>
          <w:p>
            <w:pPr>
              <w:pStyle w:val="Table01Row"/>
            </w:pPr>
            <w:r>
              <w:rPr/>
              <w:t xml:space="preserve">s. 13: 25 Feb 2015 (see s. 2(a));</w:t>
            </w:r>
          </w:p>
          <w:p>
            <w:pPr>
              <w:pStyle w:val="Table01Row"/>
            </w:pPr>
            <w:r>
              <w:rPr/>
              <w:t xml:space="preserve">Pt. 2 other than s. 13: 1 Jul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Apr 2015 p. 1249)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5 Feb 2016 (not including 2000/043)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Alcohol and Other Drugs Act 1974</vt:lpwstr>
  </property>
  <property pid="3" name="IDAct" fmtid="{D5CDD505-2E9C-101B-9397-08002B2CF9AE}">
    <vt:lpwstr>27</vt:lpwstr>
  </property>
  <property pid="4" name="ChangedDate" fmtid="{D5CDD505-2E9C-101B-9397-08002B2CF9AE}">
    <vt:lpwstr>20240108103136</vt:lpwstr>
  </property>
</Properties>
</file>