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Fishing Industry Promotion Training and Management Levy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Fishing Industry Promotion Training and Management Levy Act 1994</w:t>
            </w:r>
          </w:p>
        </w:tc>
        <w:tc>
          <w:p>
            <w:pPr>
              <w:pStyle w:val="Table01Row"/>
            </w:pPr>
            <w:r>
              <w:t>1994/055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1994;</w:t>
            </w:r>
          </w:p>
          <w:p>
            <w:pPr>
              <w:pStyle w:val="Table01Row"/>
            </w:pPr>
            <w:r>
              <w:rPr/>
              <w:t xml:space="preserve">Act other than s. 1 &amp; 2: 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Sep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Legislation Amendment Act 2016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2016/040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Operative on commencement of the Aquatic Resources Management Act 2016 s. 267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7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Fishing Industry Promotion Training and Management Levy Act 1994</vt:lpwstr>
  </property>
  <property pid="3" name="IDAct" fmtid="{D5CDD505-2E9C-101B-9397-08002B2CF9AE}">
    <vt:lpwstr>282</vt:lpwstr>
  </property>
  <property pid="4" name="ChangedDate" fmtid="{D5CDD505-2E9C-101B-9397-08002B2CF9AE}">
    <vt:lpwstr>20210421003743</vt:lpwstr>
  </property>
</Properties>
</file>