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Fremantle Endowment Lands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Fremantle Endowment Lands Act 1929</w:t>
            </w:r>
          </w:p>
        </w:tc>
        <w:tc>
          <w:p>
            <w:pPr>
              <w:pStyle w:val="Table01Row"/>
            </w:pPr>
            <w:r>
              <w:t>1929/035 (20 Geo. V No. 33)</w:t>
            </w:r>
          </w:p>
        </w:tc>
        <w:tc>
          <w:p>
            <w:pPr>
              <w:pStyle w:val="Table01Row"/>
            </w:pPr>
            <w:r>
              <w:t>23 Dec 1929</w:t>
            </w:r>
          </w:p>
        </w:tc>
        <w:tc>
          <w:p>
            <w:pPr>
              <w:pStyle w:val="Table01Row"/>
            </w:pPr>
            <w:r>
              <w:rPr/>
              <w:t xml:space="preserve">23 Dec 1929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Fremantle Endowment Lands Act 1929</vt:lpwstr>
  </property>
  <property pid="3" name="IDAct" fmtid="{D5CDD505-2E9C-101B-9397-08002B2CF9AE}">
    <vt:lpwstr>297</vt:lpwstr>
  </property>
  <property pid="4" name="ChangedDate" fmtid="{D5CDD505-2E9C-101B-9397-08002B2CF9AE}">
    <vt:lpwstr>20230127165750</vt:lpwstr>
  </property>
</Properties>
</file>