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Government Employees’ Housing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Employees’ Housing Act 1964</w:t>
            </w:r>
          </w:p>
        </w:tc>
        <w:tc>
          <w:p>
            <w:pPr>
              <w:pStyle w:val="Table01Row"/>
            </w:pPr>
            <w:r>
              <w:t>1964/095 (13 Eliz. II No. 95)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2 Aug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1965 p. 2133)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Employees’ Housing Act Amendment Act 1973</w:t>
            </w:r>
          </w:p>
        </w:tc>
        <w:tc>
          <w:p>
            <w:pPr>
              <w:pStyle w:val="Table01Row"/>
            </w:pPr>
            <w:r>
              <w:t>1973/003</w:t>
            </w:r>
          </w:p>
        </w:tc>
        <w:tc>
          <w:p>
            <w:pPr>
              <w:pStyle w:val="Table01Row"/>
            </w:pPr>
            <w:r>
              <w:t>21 May 1973</w:t>
            </w:r>
          </w:p>
        </w:tc>
        <w:tc>
          <w:p>
            <w:pPr>
              <w:pStyle w:val="Table01Row"/>
            </w:pPr>
            <w:r>
              <w:rPr/>
              <w:t xml:space="preserve">21 May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Employees’ Housing Amendment Act 1987</w:t>
            </w:r>
          </w:p>
        </w:tc>
        <w:tc>
          <w:p>
            <w:pPr>
              <w:pStyle w:val="Table01Row"/>
            </w:pPr>
            <w:r>
              <w:t>1987/062</w:t>
            </w:r>
          </w:p>
        </w:tc>
        <w:tc>
          <w:p>
            <w:pPr>
              <w:pStyle w:val="Table01Row"/>
            </w:pPr>
            <w:r>
              <w:t>13 Nov 1987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4‑6: 13 Nov 1987;</w:t>
            </w:r>
          </w:p>
          <w:p>
            <w:pPr>
              <w:pStyle w:val="Table01Row"/>
            </w:pPr>
            <w:r>
              <w:rPr/>
              <w:t xml:space="preserve">s. 4‑6: 22 Apr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Apr 1988 p. 1219)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9 May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16(5)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1999/036) (correction in Gazette 9 May 2003 p. 1619)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25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10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77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12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43(3)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Government Employees' Housing Act 1964</vt:lpwstr>
  </property>
  <property pid="3" name="IDAct" fmtid="{D5CDD505-2E9C-101B-9397-08002B2CF9AE}">
    <vt:lpwstr>328</vt:lpwstr>
  </property>
  <property pid="4" name="ChangedDate" fmtid="{D5CDD505-2E9C-101B-9397-08002B2CF9AE}">
    <vt:lpwstr>20230127165741</vt:lpwstr>
  </property>
</Properties>
</file>