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Housing Act 1980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Act 1980</w:t>
            </w:r>
          </w:p>
        </w:tc>
        <w:tc>
          <w:p>
            <w:pPr>
              <w:pStyle w:val="Table01Row"/>
            </w:pPr>
            <w:r>
              <w:t>1980/058</w:t>
            </w:r>
          </w:p>
        </w:tc>
        <w:tc>
          <w:p>
            <w:pPr>
              <w:pStyle w:val="Table01Row"/>
            </w:pPr>
            <w:r>
              <w:t>24 Nov 1980</w:t>
            </w:r>
          </w:p>
        </w:tc>
        <w:tc>
          <w:p>
            <w:pPr>
              <w:pStyle w:val="Table01Row"/>
            </w:pPr>
            <w:r>
              <w:rPr/>
              <w:t xml:space="preserve">1 Jan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1980 p. 4349)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Amendment Act 1983</w:t>
            </w:r>
          </w:p>
        </w:tc>
        <w:tc>
          <w:p>
            <w:pPr>
              <w:pStyle w:val="Table01Row"/>
            </w:pPr>
            <w:r>
              <w:t>1983/062</w:t>
            </w:r>
          </w:p>
        </w:tc>
        <w:tc>
          <w:p>
            <w:pPr>
              <w:pStyle w:val="Table01Row"/>
            </w:pPr>
            <w:r>
              <w:t>13 Dec 1983</w:t>
            </w:r>
          </w:p>
        </w:tc>
        <w:tc>
          <w:p>
            <w:pPr>
              <w:pStyle w:val="Table01Row"/>
            </w:pPr>
            <w:r>
              <w:rPr/>
              <w:t xml:space="preserve">Act other than s. 4: 13 Dec 1983 (see s. 2(1)); </w:t>
            </w:r>
          </w:p>
          <w:p>
            <w:pPr>
              <w:pStyle w:val="Table01Row"/>
            </w:pPr>
            <w:r>
              <w:rPr/>
              <w:t xml:space="preserve">s. 4: 1 Jan 1984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14(3)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46(7)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33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9(2)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May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49 &amp; 51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29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10 Div. 4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Aug 2006 (not including 2005/017)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137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87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17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Housing Legislation Amendment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2010/006</w:t>
            </w:r>
          </w:p>
        </w:tc>
        <w:tc>
          <w:p>
            <w:pPr>
              <w:pStyle w:val="Table01Row"/>
            </w:pPr>
            <w:r>
              <w:t>25 May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2010 p. 2767)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 (as amended by 2014/017 s. 39(4))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it. 31 the amendment to s. 5(1): 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4341);</w:t>
            </w:r>
          </w:p>
          <w:p>
            <w:pPr>
              <w:pStyle w:val="Table01Row"/>
            </w:pPr>
            <w:r>
              <w:rPr/>
              <w:t xml:space="preserve">it. 31 the amendment to s. 55(5) other than the amendment to delete “or on termination” and insert “or (ii) on termination”: 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4341);</w:t>
            </w:r>
          </w:p>
          <w:p>
            <w:pPr>
              <w:pStyle w:val="Table01Row"/>
            </w:pPr>
            <w:r>
              <w:rPr/>
              <w:t xml:space="preserve">it. 31 the amendment to s. 55(5) the amendment to delete “or on termination” and insert “or (ii) on termination” deleted by 2014/017 s. 39(4)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Dec 2010 (not including 2010/019 s. 51 it. 31 the amendment to s. 55(5) the amendment to delete “or on termination” and insert “or (ii) on termination”)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</w:t>
              <w:t>Pt. 5 Div. 2</w:t>
            </w:r>
          </w:p>
        </w:tc>
        <w:tc>
          <w:p>
            <w:pPr>
              <w:pStyle w:val="Table01Row"/>
            </w:pPr>
            <w:r>
              <w:t>2011/060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2013 p. 1735)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218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232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9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9: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2016 (not including 2016/019)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Housing Act 1980</vt:lpwstr>
  </property>
  <property pid="3" name="IDAct" fmtid="{D5CDD505-2E9C-101B-9397-08002B2CF9AE}">
    <vt:lpwstr>357</vt:lpwstr>
  </property>
  <property pid="4" name="ChangedDate" fmtid="{D5CDD505-2E9C-101B-9397-08002B2CF9AE}">
    <vt:lpwstr>20230127165741</vt:lpwstr>
  </property>
</Properties>
</file>