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Industrial Lands (Kwinana) Railway Act 1966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Lands (Kwinana) Railway Act 1966</w:t>
            </w:r>
          </w:p>
        </w:tc>
        <w:tc>
          <w:p>
            <w:pPr>
              <w:pStyle w:val="Table01Row"/>
            </w:pPr>
            <w:r>
              <w:t>1966/015</w:t>
            </w:r>
          </w:p>
        </w:tc>
        <w:tc>
          <w:p>
            <w:pPr>
              <w:pStyle w:val="Table01Row"/>
            </w:pPr>
            <w:r>
              <w:t>17 Oct 1966</w:t>
            </w:r>
          </w:p>
        </w:tc>
        <w:tc>
          <w:p>
            <w:pPr>
              <w:pStyle w:val="Table01Row"/>
            </w:pPr>
            <w:r>
              <w:rPr/>
              <w:t xml:space="preserve">17 Oct 1966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Apr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Industrial Lands (Kwinana) Railway Act 1966</vt:lpwstr>
  </property>
  <property pid="3" name="IDAct" fmtid="{D5CDD505-2E9C-101B-9397-08002B2CF9AE}">
    <vt:lpwstr>378</vt:lpwstr>
  </property>
  <property pid="4" name="ChangedDate" fmtid="{D5CDD505-2E9C-101B-9397-08002B2CF9AE}">
    <vt:lpwstr>20230613134304</vt:lpwstr>
  </property>
</Properties>
</file>