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Interpretation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Interpretation Act 1984</w:t>
            </w:r>
          </w:p>
        </w:tc>
        <w:tc>
          <w:p>
            <w:pPr>
              <w:pStyle w:val="Table01Row"/>
            </w:pPr>
            <w:r>
              <w:t>1984/012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1988/049</w:t>
            </w:r>
          </w:p>
        </w:tc>
        <w:tc>
          <w:p>
            <w:pPr>
              <w:pStyle w:val="Table01Row"/>
            </w:pPr>
            <w:r>
              <w:t>22 Dec 1988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1989 p. 4327)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1990/105</w:t>
            </w:r>
          </w:p>
        </w:tc>
        <w:tc>
          <w:p>
            <w:pPr>
              <w:pStyle w:val="Table01Row"/>
            </w:pPr>
            <w:r>
              <w:t>2 Jan 1991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1991/015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Institutions (Western Australia) Act 1992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1992/030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Nov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Interpretation Amendment (Australia Acts) Act 1994</w:t>
            </w:r>
          </w:p>
        </w:tc>
        <w:tc>
          <w:p>
            <w:pPr>
              <w:pStyle w:val="Table01Row"/>
            </w:pPr>
            <w:r>
              <w:t>1994/085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3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41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1997/049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10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Interpretation Amendment Act 1997</w:t>
            </w:r>
          </w:p>
        </w:tc>
        <w:tc>
          <w:p>
            <w:pPr>
              <w:pStyle w:val="Table01Row"/>
            </w:pPr>
            <w:r>
              <w:t>1997/054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12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</w:t>
              <w:t>s. 175</w:t>
            </w:r>
          </w:p>
        </w:tc>
        <w:tc>
          <w:p>
            <w:pPr>
              <w:pStyle w:val="Table01Row"/>
            </w:pPr>
            <w:r>
              <w:t>2004/054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36(12)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Aug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183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92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25 May 2007 (not including 2006/059)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Interpretation and Reprints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2010/031</w:t>
            </w:r>
          </w:p>
        </w:tc>
        <w:tc>
          <w:p>
            <w:pPr>
              <w:pStyle w:val="Table01Row"/>
            </w:pPr>
            <w:r>
              <w:t>25 Aug 2010</w:t>
            </w:r>
          </w:p>
        </w:tc>
        <w:tc>
          <w:p>
            <w:pPr>
              <w:pStyle w:val="Table01Row"/>
            </w:pPr>
            <w:r>
              <w:rPr/>
              <w:t xml:space="preserve">26 Aug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19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6 Div. 5 Subdiv. 1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Legislation Act 2021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2021/013</w:t>
            </w:r>
          </w:p>
        </w:tc>
        <w:tc>
          <w:p>
            <w:pPr>
              <w:pStyle w:val="Table01Row"/>
            </w:pPr>
            <w:r>
              <w:t>24 Aug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2023/58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10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Interpretation Act 1984</vt:lpwstr>
  </property>
  <property pid="3" name="IDAct" fmtid="{D5CDD505-2E9C-101B-9397-08002B2CF9AE}">
    <vt:lpwstr>384</vt:lpwstr>
  </property>
  <property pid="4" name="ChangedDate" fmtid="{D5CDD505-2E9C-101B-9397-08002B2CF9AE}">
    <vt:lpwstr>20210421010822</vt:lpwstr>
  </property>
</Properties>
</file>