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A</w:t>
      </w:r>
    </w:p>
    <w:p>
      <w:pPr>
        <w:pStyle w:val="IActName"/>
      </w:pPr>
      <w:r>
        <w:t>Anglican Church of Australia Constitution Act 1960</w:t>
      </w:r>
    </w:p>
    <w:p>
      <w:pPr>
        <w:pStyle w:val="Table01Note"/>
      </w:pPr>
      <w:r>
        <w:t xml:space="preserve">Formerly </w:t>
      </w:r>
      <w:r>
        <w:t>“</w:t>
      </w:r>
      <w:r>
        <w:rPr>
          <w:i/>
        </w:rPr>
        <w:t>Church of England in Australia Constitution Act 1960</w:t>
      </w:r>
      <w:r>
        <w:t>”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Attorney General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Justice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Church of England in Australia Constitution Act 1960</w:t>
            </w:r>
          </w:p>
        </w:tc>
        <w:tc>
          <w:p>
            <w:pPr>
              <w:pStyle w:val="Table01Row"/>
            </w:pPr>
            <w:r>
              <w:t>1960/004 (9 Eliz. II No. 4)</w:t>
            </w:r>
          </w:p>
        </w:tc>
        <w:tc>
          <w:p>
            <w:pPr>
              <w:pStyle w:val="Table01Row"/>
            </w:pPr>
            <w:r>
              <w:t>6 Oct 1960</w:t>
            </w:r>
          </w:p>
        </w:tc>
        <w:tc>
          <w:p>
            <w:pPr>
              <w:pStyle w:val="Table01Row"/>
            </w:pPr>
            <w:r>
              <w:rPr/>
              <w:t xml:space="preserve">1 Jan 1962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24 Nov 1961 p. 3223)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Anglican Church of Australia Act 1976</w:t>
            </w:r>
            <w:r>
              <w:t xml:space="preserve"> </w:t>
              <w:t>s. 7</w:t>
            </w:r>
          </w:p>
        </w:tc>
        <w:tc>
          <w:p>
            <w:pPr>
              <w:pStyle w:val="Table01Row"/>
            </w:pPr>
            <w:r>
              <w:t>1976/121</w:t>
            </w:r>
          </w:p>
        </w:tc>
        <w:tc>
          <w:p>
            <w:pPr>
              <w:pStyle w:val="Table01Row"/>
            </w:pPr>
            <w:r>
              <w:t>1 Dec 1976</w:t>
            </w:r>
          </w:p>
        </w:tc>
        <w:tc>
          <w:p>
            <w:pPr>
              <w:pStyle w:val="Table01Row"/>
            </w:pPr>
            <w:r>
              <w:rPr/>
              <w:t xml:space="preserve">24 Aug 1981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30 Jan 1981 p. 441)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Commercial Arbitration Act 1985</w:t>
            </w:r>
            <w:r>
              <w:t xml:space="preserve"> </w:t>
              <w:t>s. 3(1)</w:t>
            </w:r>
          </w:p>
        </w:tc>
        <w:tc>
          <w:p>
            <w:pPr>
              <w:pStyle w:val="Table01Row"/>
            </w:pPr>
            <w:r>
              <w:t>1985/109</w:t>
            </w:r>
          </w:p>
        </w:tc>
        <w:tc>
          <w:p>
            <w:pPr>
              <w:pStyle w:val="Table01Row"/>
            </w:pPr>
            <w:r>
              <w:t>7 Jan 1986</w:t>
            </w:r>
          </w:p>
        </w:tc>
        <w:tc>
          <w:p>
            <w:pPr>
              <w:pStyle w:val="Table01Row"/>
            </w:pPr>
            <w:r>
              <w:rPr/>
              <w:t xml:space="preserve">1 Apr 1986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28 Feb 1986 p. 605)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(Consequential Amendments) Act 1996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1996/014</w:t>
            </w:r>
          </w:p>
        </w:tc>
        <w:tc>
          <w:p>
            <w:pPr>
              <w:pStyle w:val="Table01Row"/>
            </w:pPr>
            <w:r>
              <w:t>28 Jun 1996</w:t>
            </w:r>
          </w:p>
        </w:tc>
        <w:tc>
          <w:p>
            <w:pPr>
              <w:pStyle w:val="Table01Row"/>
            </w:pPr>
            <w:r>
              <w:rPr/>
              <w:t xml:space="preserve">1 Jul 1996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3 May 2002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 &amp; 51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Commercial Arbitration Act 2012</w:t>
            </w:r>
            <w:r>
              <w:t xml:space="preserve"> </w:t>
              <w:t>s. 45 (it. 2)</w:t>
            </w:r>
          </w:p>
        </w:tc>
        <w:tc>
          <w:p>
            <w:pPr>
              <w:pStyle w:val="Table01Row"/>
            </w:pPr>
            <w:r>
              <w:t>2012/023</w:t>
            </w:r>
          </w:p>
        </w:tc>
        <w:tc>
          <w:p>
            <w:pPr>
              <w:pStyle w:val="Table01Row"/>
            </w:pPr>
            <w:r>
              <w:t>29 Aug 2012</w:t>
            </w:r>
          </w:p>
        </w:tc>
        <w:tc>
          <w:p>
            <w:pPr>
              <w:pStyle w:val="Table01Row"/>
            </w:pPr>
            <w:r>
              <w:rPr/>
              <w:t xml:space="preserve">7 Aug 2013 (see s. 1B(b) and </w:t>
            </w:r>
            <w:r>
              <w:rPr>
                <w:i/>
              </w:rPr>
              <w:t xml:space="preserve">Gazette</w:t>
            </w:r>
            <w:r>
              <w:rPr/>
              <w:t xml:space="preserve"> 6 Aug 2013 p. 3677)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11 Sep 2015 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Anglican Church of Australia Constitution Act 1960</vt:lpwstr>
  </property>
  <property pid="3" name="IDAct" fmtid="{D5CDD505-2E9C-101B-9397-08002B2CF9AE}">
    <vt:lpwstr>38</vt:lpwstr>
  </property>
  <property pid="4" name="ChangedDate" fmtid="{D5CDD505-2E9C-101B-9397-08002B2CF9AE}">
    <vt:lpwstr>20210421010821</vt:lpwstr>
  </property>
</Properties>
</file>