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(Goldsworthy‑Nimingarra) Agreement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(Goldsworthy‑Nimingarra) Agreement Act 1972</w:t>
            </w:r>
          </w:p>
        </w:tc>
        <w:tc>
          <w:p>
            <w:pPr>
              <w:pStyle w:val="Table01Row"/>
            </w:pPr>
            <w:r>
              <w:t>1972/030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16 Jun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(Iron Ore Agreements)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2000/057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7 Dec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Sep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2010/034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P. 9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(Amendment, Termination and Repeals) Act 2011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2011/062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(Goldsworthy-Nimingarra) Agreement Act 1972</vt:lpwstr>
  </property>
  <property pid="3" name="IDAct" fmtid="{D5CDD505-2E9C-101B-9397-08002B2CF9AE}">
    <vt:lpwstr>390</vt:lpwstr>
  </property>
  <property pid="4" name="ChangedDate" fmtid="{D5CDD505-2E9C-101B-9397-08002B2CF9AE}">
    <vt:lpwstr>20230609154944</vt:lpwstr>
  </property>
</Properties>
</file>