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Jetties Act 1926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Jetties Act 1926</w:t>
            </w:r>
          </w:p>
        </w:tc>
        <w:tc>
          <w:p>
            <w:pPr>
              <w:pStyle w:val="Table01Row"/>
            </w:pPr>
            <w:r>
              <w:t>1926/045 (17 Geo. V No. 45)</w:t>
            </w:r>
          </w:p>
        </w:tc>
        <w:tc>
          <w:p>
            <w:pPr>
              <w:pStyle w:val="Table01Row"/>
            </w:pPr>
            <w:r>
              <w:t>23 Dec 1926</w:t>
            </w:r>
          </w:p>
        </w:tc>
        <w:tc>
          <w:p>
            <w:pPr>
              <w:pStyle w:val="Table01Row"/>
            </w:pPr>
            <w:r>
              <w:rPr/>
              <w:t xml:space="preserve">23 Dec 1926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Jetties Act Amendment Act 1957</w:t>
            </w:r>
          </w:p>
        </w:tc>
        <w:tc>
          <w:p>
            <w:pPr>
              <w:pStyle w:val="Table01Row"/>
            </w:pPr>
            <w:r>
              <w:t>1957/033 (6 Eliz. II No. 33)</w:t>
            </w:r>
          </w:p>
        </w:tc>
        <w:tc>
          <w:p>
            <w:pPr>
              <w:pStyle w:val="Table01Row"/>
            </w:pPr>
            <w:r>
              <w:t>5 Nov 1957</w:t>
            </w:r>
          </w:p>
        </w:tc>
        <w:tc>
          <w:p>
            <w:pPr>
              <w:pStyle w:val="Table01Row"/>
            </w:pPr>
            <w:r>
              <w:rPr/>
              <w:t xml:space="preserve">5 Nov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Jetties Act Amendment Act 1965</w:t>
            </w:r>
          </w:p>
        </w:tc>
        <w:tc>
          <w:p>
            <w:pPr>
              <w:pStyle w:val="Table01Row"/>
            </w:pPr>
            <w:r>
              <w:t>1965/030</w:t>
            </w:r>
          </w:p>
        </w:tc>
        <w:tc>
          <w:p>
            <w:pPr>
              <w:pStyle w:val="Table01Row"/>
            </w:pPr>
            <w:r>
              <w:t>21 Oct 1965</w:t>
            </w:r>
          </w:p>
        </w:tc>
        <w:tc>
          <w:p>
            <w:pPr>
              <w:pStyle w:val="Table01Row"/>
            </w:pPr>
            <w:r>
              <w:rPr/>
              <w:t xml:space="preserve">21 Oct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Jetties Act Amendment Act 1976</w:t>
            </w:r>
          </w:p>
        </w:tc>
        <w:tc>
          <w:p>
            <w:pPr>
              <w:pStyle w:val="Table01Row"/>
            </w:pPr>
            <w:r>
              <w:t>1976/005</w:t>
            </w:r>
          </w:p>
        </w:tc>
        <w:tc>
          <w:p>
            <w:pPr>
              <w:pStyle w:val="Table01Row"/>
            </w:pPr>
            <w:r>
              <w:t>25 May 1976</w:t>
            </w:r>
          </w:p>
        </w:tc>
        <w:tc>
          <w:p>
            <w:pPr>
              <w:pStyle w:val="Table01Row"/>
            </w:pPr>
            <w:r>
              <w:rPr/>
              <w:t xml:space="preserve">25 May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(Port and Marine Regulations) Act 1976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1976/012</w:t>
            </w:r>
          </w:p>
        </w:tc>
        <w:tc>
          <w:p>
            <w:pPr>
              <w:pStyle w:val="Table01Row"/>
            </w:pPr>
            <w:r>
              <w:t>27 May 1976</w:t>
            </w:r>
          </w:p>
        </w:tc>
        <w:tc>
          <w:p>
            <w:pPr>
              <w:pStyle w:val="Table01Row"/>
            </w:pPr>
            <w:r>
              <w:rPr/>
              <w:t xml:space="preserve">27 May 1976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Aug 1976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Jetties Amendment Act 1986</w:t>
            </w:r>
          </w:p>
        </w:tc>
        <w:tc>
          <w:p>
            <w:pPr>
              <w:pStyle w:val="Table01Row"/>
            </w:pPr>
            <w:r>
              <w:t>1986/035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29 Aug 1986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1988/021</w:t>
            </w:r>
          </w:p>
        </w:tc>
        <w:tc>
          <w:p>
            <w:pPr>
              <w:pStyle w:val="Table01Row"/>
            </w:pPr>
            <w:r>
              <w:t>5 Oct 1988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148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Jun 2007 (not including 2006/052)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27 Feb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5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Jetties Act 1926</vt:lpwstr>
  </property>
  <property pid="3" name="IDAct" fmtid="{D5CDD505-2E9C-101B-9397-08002B2CF9AE}">
    <vt:lpwstr>407</vt:lpwstr>
  </property>
  <property pid="4" name="ChangedDate" fmtid="{D5CDD505-2E9C-101B-9397-08002B2CF9AE}">
    <vt:lpwstr>20230613134304</vt:lpwstr>
  </property>
</Properties>
</file>