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Emergency Services Levy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Services Levy Act 2002</w:t>
            </w:r>
          </w:p>
        </w:tc>
        <w:tc>
          <w:p>
            <w:pPr>
              <w:pStyle w:val="Table01Row"/>
            </w:pPr>
            <w:r>
              <w:t>2002/039</w:t>
            </w:r>
          </w:p>
        </w:tc>
        <w:tc>
          <w:p>
            <w:pPr>
              <w:pStyle w:val="Table01Row"/>
            </w:pPr>
            <w:r>
              <w:t>5 Dec 2002</w:t>
            </w:r>
          </w:p>
        </w:tc>
        <w:tc>
          <w:p>
            <w:pPr>
              <w:pStyle w:val="Table01Row"/>
            </w:pPr>
            <w:r>
              <w:rPr/>
              <w:t xml:space="preserve">1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2002 p. 6635)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5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Emergency Services Levy Act 2002</vt:lpwstr>
  </property>
  <property pid="3" name="IDAct" fmtid="{D5CDD505-2E9C-101B-9397-08002B2CF9AE}">
    <vt:lpwstr>4346</vt:lpwstr>
  </property>
  <property pid="4" name="ChangedDate" fmtid="{D5CDD505-2E9C-101B-9397-08002B2CF9AE}">
    <vt:lpwstr>20230129081901</vt:lpwstr>
  </property>
</Properties>
</file>