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Law Reform (Contributory Negligence and Tortfeasors’ Contribution) Act 1947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(Contributory Negligence and Tortfeasors’ Contribution) Act 1947</w:t>
            </w:r>
          </w:p>
        </w:tc>
        <w:tc>
          <w:p>
            <w:pPr>
              <w:pStyle w:val="Table01Row"/>
            </w:pPr>
            <w:r>
              <w:t>1947/023 (11 Geo. VI No. 23)</w:t>
            </w:r>
          </w:p>
        </w:tc>
        <w:tc>
          <w:p>
            <w:pPr>
              <w:pStyle w:val="Table01Row"/>
            </w:pPr>
            <w:r>
              <w:t>7 Nov 1947</w:t>
            </w:r>
          </w:p>
        </w:tc>
        <w:tc>
          <w:p>
            <w:pPr>
              <w:pStyle w:val="Table01Row"/>
            </w:pPr>
            <w:r>
              <w:rPr/>
              <w:t xml:space="preserve">7 Nov 1947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23 May 1979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(Contributory Negligence and Tortfeasors’ Contribution) Amendment Act 2003</w:t>
            </w:r>
          </w:p>
        </w:tc>
        <w:tc>
          <w:p>
            <w:pPr>
              <w:pStyle w:val="Table01Row"/>
            </w:pPr>
            <w:r>
              <w:t>2003/017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17 Apr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Liability Amendment Act 2003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2003/058</w:t>
            </w:r>
          </w:p>
        </w:tc>
        <w:tc>
          <w:p>
            <w:pPr>
              <w:pStyle w:val="Table01Row"/>
            </w:pPr>
            <w:r>
              <w:t>30 Oct 2003</w:t>
            </w:r>
          </w:p>
        </w:tc>
        <w:tc>
          <w:p>
            <w:pPr>
              <w:pStyle w:val="Table01Row"/>
            </w:pPr>
            <w:r>
              <w:rPr/>
              <w:t xml:space="preserve">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175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46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Jun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6 &amp;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Law Reform (Contributory Negligence and Tortfeasors' Contribution) Act 1947</vt:lpwstr>
  </property>
  <property pid="3" name="IDAct" fmtid="{D5CDD505-2E9C-101B-9397-08002B2CF9AE}">
    <vt:lpwstr>439</vt:lpwstr>
  </property>
  <property pid="4" name="ChangedDate" fmtid="{D5CDD505-2E9C-101B-9397-08002B2CF9AE}">
    <vt:lpwstr>20210421010822</vt:lpwstr>
  </property>
</Properties>
</file>