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L</w:t>
      </w:r>
    </w:p>
    <w:p>
      <w:pPr>
        <w:pStyle w:val="IActName"/>
      </w:pPr>
      <w:r>
        <w:t>Law Reform (Contributory Negligence and Tortfeasors’ Contribution) Act 1947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Attorney General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Justice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Law Reform (Contributory Negligence and Tortfeasors’ Contribution) Act 1947</w:t>
            </w:r>
          </w:p>
        </w:tc>
        <w:tc>
          <w:p>
            <w:pPr>
              <w:pStyle w:val="Table01Row"/>
            </w:pPr>
            <w:r>
              <w:t>1947/023 (11 Geo. VI No. 23)</w:t>
            </w:r>
          </w:p>
        </w:tc>
        <w:tc>
          <w:p>
            <w:pPr>
              <w:pStyle w:val="Table01Row"/>
            </w:pPr>
            <w:r>
              <w:t>7 Nov 1947</w:t>
            </w:r>
          </w:p>
        </w:tc>
        <w:tc>
          <w:p>
            <w:pPr>
              <w:pStyle w:val="Table01Row"/>
            </w:pPr>
            <w:r>
              <w:rPr/>
              <w:t xml:space="preserve">7 Nov 1947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authorised 23 May 1979 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2 Aug 2002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Law Reform (Contributory Negligence and Tortfeasors’ Contribution) Amendment Act 2003</w:t>
            </w:r>
          </w:p>
        </w:tc>
        <w:tc>
          <w:p>
            <w:pPr>
              <w:pStyle w:val="Table01Row"/>
            </w:pPr>
            <w:r>
              <w:t>2003/017</w:t>
            </w:r>
          </w:p>
        </w:tc>
        <w:tc>
          <w:p>
            <w:pPr>
              <w:pStyle w:val="Table01Row"/>
            </w:pPr>
            <w:r>
              <w:t>17 Apr 2003</w:t>
            </w:r>
          </w:p>
        </w:tc>
        <w:tc>
          <w:p>
            <w:pPr>
              <w:pStyle w:val="Table01Row"/>
            </w:pPr>
            <w:r>
              <w:rPr/>
              <w:t xml:space="preserve">17 Apr 2003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Civil Liability Amendment Act 2003</w:t>
            </w:r>
            <w:r>
              <w:t xml:space="preserve"> </w:t>
              <w:t>s. 14</w:t>
            </w:r>
          </w:p>
        </w:tc>
        <w:tc>
          <w:p>
            <w:pPr>
              <w:pStyle w:val="Table01Row"/>
            </w:pPr>
            <w:r>
              <w:t>2003/058</w:t>
            </w:r>
          </w:p>
        </w:tc>
        <w:tc>
          <w:p>
            <w:pPr>
              <w:pStyle w:val="Table01Row"/>
            </w:pPr>
            <w:r>
              <w:t>30 Oct 2003</w:t>
            </w:r>
          </w:p>
        </w:tc>
        <w:tc>
          <w:p>
            <w:pPr>
              <w:pStyle w:val="Table01Row"/>
            </w:pPr>
            <w:r>
              <w:rPr/>
              <w:t xml:space="preserve">1 Dec 2004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26 Nov 2004 p. 5309)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Workers’ Compensation Reform Act 2004</w:t>
            </w:r>
            <w:r>
              <w:t xml:space="preserve"> </w:t>
              <w:t>s. 175</w:t>
            </w:r>
          </w:p>
        </w:tc>
        <w:tc>
          <w:p>
            <w:pPr>
              <w:pStyle w:val="Table01Row"/>
            </w:pPr>
            <w:r>
              <w:t>2004/042</w:t>
            </w:r>
          </w:p>
        </w:tc>
        <w:tc>
          <w:p>
            <w:pPr>
              <w:pStyle w:val="Table01Row"/>
            </w:pPr>
            <w:r>
              <w:t>9 Nov 2004</w:t>
            </w:r>
          </w:p>
        </w:tc>
        <w:tc>
          <w:p>
            <w:pPr>
              <w:pStyle w:val="Table01Row"/>
            </w:pPr>
            <w:r>
              <w:rPr/>
              <w:t xml:space="preserve">4 Jan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7131)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46 &amp; 51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3 as at 3 Jun 2011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Workers Compensation and Injury Management Act 2023</w:t>
            </w:r>
            <w:r>
              <w:rPr>
                <w:color w:val="FF0000"/>
              </w:rPr>
              <w:t xml:space="preserve"> </w:t>
              <w:t>Pt. 15 Div. 3 Subdiv. 6 &amp; 20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2023/021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24 Oct 2023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1 Jul 2024 (see s. 2(d) and SL 2024/34 cl. 2)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Law Reform (Contributory Negligence and Tortfeasors' Contribution) Act 1947</vt:lpwstr>
  </property>
  <property pid="3" name="IDAct" fmtid="{D5CDD505-2E9C-101B-9397-08002B2CF9AE}">
    <vt:lpwstr>439</vt:lpwstr>
  </property>
  <property pid="4" name="ChangedDate" fmtid="{D5CDD505-2E9C-101B-9397-08002B2CF9AE}">
    <vt:lpwstr>20210421010822</vt:lpwstr>
  </property>
</Properties>
</file>