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Local Government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 1995</w:t>
            </w:r>
          </w:p>
        </w:tc>
        <w:tc>
          <w:p>
            <w:pPr>
              <w:pStyle w:val="Table01Row"/>
            </w:pPr>
            <w:r>
              <w:t>1995/074</w:t>
            </w:r>
          </w:p>
        </w:tc>
        <w:tc>
          <w:p>
            <w:pPr>
              <w:pStyle w:val="Table01Row"/>
            </w:pPr>
            <w:r>
              <w:t>9 Jan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1.2)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Local Government Act (Schedule 3.1) Amendment Regulations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Jun 1996 p. 2861‑2</w:t>
            </w:r>
          </w:p>
        </w:tc>
        <w:tc>
          <w:p>
            <w:pPr>
              <w:pStyle w:val="Table01Row"/>
            </w:pPr>
            <w:r>
              <w:rPr/>
              <w:t xml:space="preserve">1 Jul 1996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Local Government Act (Schedule 3.1) Amendment Regulations (No. 2)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5647</w:t>
            </w:r>
          </w:p>
        </w:tc>
        <w:tc>
          <w:p>
            <w:pPr>
              <w:pStyle w:val="Table01Row"/>
            </w:pPr>
            <w:r>
              <w:rPr/>
              <w:t xml:space="preserve">25 Oct 1996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Local Government Act (Schedule 3.1) Amendment Regulations 1997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Apr 1997 p. 2144</w:t>
            </w:r>
          </w:p>
        </w:tc>
        <w:tc>
          <w:p>
            <w:pPr>
              <w:pStyle w:val="Table01Row"/>
            </w:pPr>
            <w:r>
              <w:rPr/>
              <w:t xml:space="preserve">29 Apr 1997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81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1998</w:t>
            </w:r>
          </w:p>
        </w:tc>
        <w:tc>
          <w:p>
            <w:pPr>
              <w:pStyle w:val="Table01Row"/>
            </w:pPr>
            <w:r>
              <w:t>1998/001</w:t>
            </w:r>
          </w:p>
        </w:tc>
        <w:tc>
          <w:p>
            <w:pPr>
              <w:pStyle w:val="Table01Row"/>
            </w:pPr>
            <w:r>
              <w:t>26 Mar 1998</w:t>
            </w:r>
          </w:p>
        </w:tc>
        <w:tc>
          <w:p>
            <w:pPr>
              <w:pStyle w:val="Table01Row"/>
            </w:pPr>
            <w:r>
              <w:rPr/>
              <w:t xml:space="preserve">Act other than s. 21: 26 Mar 1998 (see s. 2(1));</w:t>
            </w:r>
          </w:p>
          <w:p>
            <w:pPr>
              <w:pStyle w:val="Table01Row"/>
            </w:pPr>
            <w:r>
              <w:rPr/>
              <w:t xml:space="preserve">s. 21: 1 Jul 1998 (see s. 2 (2))</w:t>
            </w:r>
          </w:p>
          <w:p>
            <w:pPr>
              <w:pStyle w:val="Table01Row"/>
            </w:pPr>
            <w:r>
              <w:rPr/>
              <w:t xml:space="preserve">(s. 28 is not included because cl. 4(2) of Sch. 9.2 had been previously amended by 1997/057 s. 81(1) prior to commencement)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2) 1998</w:t>
            </w:r>
          </w:p>
        </w:tc>
        <w:tc>
          <w:p>
            <w:pPr>
              <w:pStyle w:val="Table01Row"/>
            </w:pPr>
            <w:r>
              <w:t>1998/064</w:t>
            </w:r>
          </w:p>
        </w:tc>
        <w:tc>
          <w:p>
            <w:pPr>
              <w:pStyle w:val="Table01Row"/>
            </w:pPr>
            <w:r>
              <w:t>12 Jan 1999</w:t>
            </w:r>
          </w:p>
        </w:tc>
        <w:tc>
          <w:p>
            <w:pPr>
              <w:pStyle w:val="Table01Row"/>
            </w:pPr>
            <w:r>
              <w:rPr/>
              <w:t xml:space="preserve">12 Jan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</w:t>
              <w:t>s. 7(3)</w:t>
            </w:r>
          </w:p>
        </w:tc>
        <w:tc>
          <w:p>
            <w:pPr>
              <w:pStyle w:val="Table01Row"/>
            </w:pPr>
            <w:r>
              <w:t>1999/016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7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1999 p. 3727)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  <w:r>
              <w:t xml:space="preserve"> </w:t>
              <w:t>s. 28(3)</w:t>
            </w:r>
          </w:p>
        </w:tc>
        <w:tc>
          <w:p>
            <w:pPr>
              <w:pStyle w:val="Table01Row"/>
            </w:pPr>
            <w:r>
              <w:t>1999/044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Feb 2000 (not including 1999/036)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36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2001/028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4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2006 p. 4889)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38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 Apr 2004 (not including 2001/028) (correction in Gazette 1 Oct 2004 p. 4283)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165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</w:p>
        </w:tc>
        <w:tc>
          <w:p>
            <w:pPr>
              <w:pStyle w:val="Table01Row"/>
            </w:pPr>
            <w:r>
              <w:t>2004/049 (as amended by 2009/008 s. 88 &amp; 2009/017 s. 48)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s. 17, 30‑37, 38(1) &amp; (2) &amp; 39‑41: 22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Jan 2005 p. 257);</w:t>
            </w:r>
          </w:p>
          <w:p>
            <w:pPr>
              <w:pStyle w:val="Table01Row"/>
            </w:pPr>
            <w:r>
              <w:rPr/>
              <w:t xml:space="preserve">s. 10‑15, 18, 21, 22, 42, 46(3), 47‑48, 53, 55‑58, 61‑64, 67, 68, 70, 71, 73 &amp; 74: 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1029);</w:t>
            </w:r>
          </w:p>
          <w:p>
            <w:pPr>
              <w:pStyle w:val="Table01Row"/>
            </w:pPr>
            <w:r>
              <w:rPr/>
              <w:t xml:space="preserve">s. 4‑9, 16(4), 19(1), 23‑29, 43‑45, 46(1), (2) &amp; (4), 49‑52, 54, 65, 66, 69 &amp; 72: 7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 and 29 Apr 2005 p. 1771);</w:t>
            </w:r>
          </w:p>
          <w:p>
            <w:pPr>
              <w:pStyle w:val="Table01Row"/>
            </w:pPr>
            <w:r>
              <w:rPr/>
              <w:t xml:space="preserve">Proclamation published 31 Mar 2005 p. 1029 revoked to the extent that the proclamation applies to s. 16(1), (2), (3) &amp; (5) and s. 19(2) (see </w:t>
            </w:r>
            <w:r>
              <w:rPr>
                <w:i/>
              </w:rPr>
              <w:t xml:space="preserve">Gazette</w:t>
            </w:r>
            <w:r>
              <w:rPr/>
              <w:t xml:space="preserve"> 29 Apr 2005 p. 1771);</w:t>
            </w:r>
          </w:p>
          <w:p>
            <w:pPr>
              <w:pStyle w:val="Table01Row"/>
            </w:pPr>
            <w:r>
              <w:rPr/>
              <w:t xml:space="preserve">s. 59 &amp; 60: 1 Jul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1029);</w:t>
            </w:r>
          </w:p>
          <w:p>
            <w:pPr>
              <w:pStyle w:val="Table01Row"/>
            </w:pPr>
            <w:r>
              <w:rPr/>
              <w:t xml:space="preserve">s. 16(1), (2), (3) &amp; (5) deleted by 2009/008 s. 88; </w:t>
            </w:r>
          </w:p>
          <w:p>
            <w:pPr>
              <w:pStyle w:val="Table01Row"/>
            </w:pPr>
            <w:r>
              <w:rPr/>
              <w:t xml:space="preserve">s. 19(2), 20 &amp; 38(3) deleted by 2009/017 s. 48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28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</w:t>
            </w:r>
          </w:p>
          <w:p>
            <w:pPr>
              <w:pStyle w:val="Table01Row"/>
            </w:pPr>
            <w:r>
              <w:rPr/>
              <w:t xml:space="preserve">Sch. 2 cl. 28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76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11 &amp; 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Aug 2005 (not including 2001/028, 2004/049 s. 16(1), (2), (3) &amp; (5), 19(2), 20 &amp; 38(3) &amp; 2004/059 Sch. 2 cl. 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12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144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2006</w:t>
            </w:r>
          </w:p>
        </w:tc>
        <w:tc>
          <w:p>
            <w:pPr>
              <w:pStyle w:val="Table01Row"/>
            </w:pPr>
            <w:r>
              <w:t>2006/066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Act other than s. 14: 9 Dec 2006 (see s. 2(1));</w:t>
            </w:r>
          </w:p>
          <w:p>
            <w:pPr>
              <w:pStyle w:val="Table01Row"/>
            </w:pPr>
            <w:r>
              <w:rPr/>
              <w:t xml:space="preserve">s. 14: 6 Sep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21 Aug 2007 p. 4173)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102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(Official Conduct) Amendment Act 2007</w:t>
            </w:r>
          </w:p>
        </w:tc>
        <w:tc>
          <w:p>
            <w:pPr>
              <w:pStyle w:val="Table01Row"/>
            </w:pPr>
            <w:r>
              <w:t>2007/001</w:t>
            </w:r>
          </w:p>
        </w:tc>
        <w:tc>
          <w:p>
            <w:pPr>
              <w:pStyle w:val="Table01Row"/>
            </w:pPr>
            <w:r>
              <w:t>28 Mar 2007</w:t>
            </w:r>
          </w:p>
        </w:tc>
        <w:tc>
          <w:p>
            <w:pPr>
              <w:pStyle w:val="Table01Row"/>
            </w:pPr>
            <w:r>
              <w:rPr/>
              <w:t xml:space="preserve">s. 1 &amp; 2: 28 Mar 2007;</w:t>
            </w:r>
          </w:p>
          <w:p>
            <w:pPr>
              <w:pStyle w:val="Table01Row"/>
            </w:pPr>
            <w:r>
              <w:rPr/>
              <w:t xml:space="preserve">Act other than s. 1 &amp; 2: 21 Oct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Aug 2007 p. 4173)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2007</w:t>
            </w:r>
          </w:p>
        </w:tc>
        <w:tc>
          <w:p>
            <w:pPr>
              <w:pStyle w:val="Table01Row"/>
            </w:pPr>
            <w:r>
              <w:t>2007/009</w:t>
            </w:r>
          </w:p>
        </w:tc>
        <w:tc>
          <w:p>
            <w:pPr>
              <w:pStyle w:val="Table01Row"/>
            </w:pPr>
            <w:r>
              <w:t>25 Jun 2007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2007;</w:t>
            </w:r>
          </w:p>
          <w:p>
            <w:pPr>
              <w:pStyle w:val="Table01Row"/>
            </w:pPr>
            <w:r>
              <w:rPr/>
              <w:t xml:space="preserve">Act other than s. 1 &amp; 2: 6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Aug 2007 p. 3989)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(Miscellaneous Provisions) Amendment Act 2007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2007/011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Jun 2008 p. 2179)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99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31 Oct 2009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30 Oct 2009 p. 4305)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Jan 2008 (not including 2004/049 s. 16(1), (2), (3) &amp; (5), 19(2), 20 &amp; 38(3), 2004/059 Sch. 2 cl. 28, 2007/011 &amp; 2007/035)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21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(Elections) Act 2009</w:t>
            </w:r>
          </w:p>
        </w:tc>
        <w:tc>
          <w:p>
            <w:pPr>
              <w:pStyle w:val="Table01Row"/>
            </w:pPr>
            <w:r>
              <w:t>2009/015</w:t>
            </w:r>
          </w:p>
        </w:tc>
        <w:tc>
          <w:p>
            <w:pPr>
              <w:pStyle w:val="Table01Row"/>
            </w:pPr>
            <w:r>
              <w:t>17 Aug 2009</w:t>
            </w:r>
          </w:p>
        </w:tc>
        <w:tc>
          <w:p>
            <w:pPr>
              <w:pStyle w:val="Table01Row"/>
            </w:pPr>
            <w:r>
              <w:rPr/>
              <w:t xml:space="preserve">s. 1 &amp; 2: 17 Aug 2009 (see s. 2(a));</w:t>
            </w:r>
          </w:p>
          <w:p>
            <w:pPr>
              <w:pStyle w:val="Table01Row"/>
            </w:pPr>
            <w:r>
              <w:rPr/>
              <w:t xml:space="preserve">Act other than s. 1 &amp; 2: 29 Aug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Aug 2009 p. 3347)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2009</w:t>
            </w:r>
          </w:p>
        </w:tc>
        <w:tc>
          <w:p>
            <w:pPr>
              <w:pStyle w:val="Table01Row"/>
            </w:pPr>
            <w:r>
              <w:t>2009/017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s. 1 &amp; 2: 16 Sep 2009 (see s. 2(a));</w:t>
            </w:r>
          </w:p>
          <w:p>
            <w:pPr>
              <w:pStyle w:val="Table01Row"/>
            </w:pPr>
            <w:r>
              <w:rPr/>
              <w:t xml:space="preserve">Act other than s. 1, 2 &amp; 34: 21 Nov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Nov 2009 p. 4649);</w:t>
            </w:r>
          </w:p>
          <w:p>
            <w:pPr>
              <w:pStyle w:val="Table01Row"/>
            </w:pPr>
            <w:r>
              <w:rPr/>
              <w:t xml:space="preserve">s. 34: 4 May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2011 p. 1577)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Co‑operatives Act 2009</w:t>
            </w:r>
            <w:r>
              <w:t xml:space="preserve"> </w:t>
              <w:t>s. 506 &amp; 516</w:t>
            </w:r>
          </w:p>
        </w:tc>
        <w:tc>
          <w:p>
            <w:pPr>
              <w:pStyle w:val="Table01Row"/>
            </w:pPr>
            <w:r>
              <w:t>2009/024</w:t>
            </w:r>
          </w:p>
        </w:tc>
        <w:tc>
          <w:p>
            <w:pPr>
              <w:pStyle w:val="Table01Row"/>
            </w:pPr>
            <w:r>
              <w:t>22 Oct 2009</w:t>
            </w:r>
          </w:p>
        </w:tc>
        <w:tc>
          <w:p>
            <w:pPr>
              <w:pStyle w:val="Table01Row"/>
            </w:pPr>
            <w:r>
              <w:rPr/>
              <w:t xml:space="preserve">s. 506: 16 May 2011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2011 p. 2516);</w:t>
            </w:r>
          </w:p>
          <w:p>
            <w:pPr>
              <w:pStyle w:val="Table01Row"/>
            </w:pPr>
            <w:r>
              <w:rPr/>
              <w:t xml:space="preserve">s. 516: 1 Sep 2012 (see s. 2(c))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5 Feb 2010 (not including 2009/017 s. 34 &amp; 2009/024)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44(2)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s. 34 &amp; Pt. 5 Div. 2</w:t>
            </w:r>
          </w:p>
        </w:tc>
        <w:tc>
          <w:p>
            <w:pPr>
              <w:pStyle w:val="Table01Row"/>
            </w:pPr>
            <w:r>
              <w:t>2010/028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182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166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2012/002</w:t>
            </w:r>
          </w:p>
        </w:tc>
        <w:tc>
          <w:p>
            <w:pPr>
              <w:pStyle w:val="Table01Row"/>
            </w:pPr>
            <w:r>
              <w:t>4 Apr 2012</w:t>
            </w:r>
          </w:p>
        </w:tc>
        <w:tc>
          <w:p>
            <w:pPr>
              <w:pStyle w:val="Table01Row"/>
            </w:pPr>
            <w:r>
              <w:rPr/>
              <w:t xml:space="preserve">Pt. 2 other than s. 13‑18: 21 Apr 2012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20 Apr 2012 p. 1695);</w:t>
            </w:r>
          </w:p>
          <w:p>
            <w:pPr>
              <w:pStyle w:val="Table01Row"/>
            </w:pPr>
            <w:r>
              <w:rPr/>
              <w:t xml:space="preserve">s. 13: 1 Jul 2012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20 Apr 2012 p. 1695);</w:t>
            </w:r>
          </w:p>
          <w:p>
            <w:pPr>
              <w:pStyle w:val="Table01Row"/>
            </w:pPr>
            <w:r>
              <w:rPr/>
              <w:t xml:space="preserve">s. 14‑18: 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2013 p. 863)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29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3 Aug 2012 (not including 2009/024, 2012/002 s. 14‑16 &amp; 2012/008) (correction in Gazette 7 Sep 2012 p. 4329 &amp; 28 Mar 2013 p. 1317)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12)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223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Act 2016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2016/002</w:t>
            </w:r>
          </w:p>
        </w:tc>
        <w:tc>
          <w:p>
            <w:pPr>
              <w:pStyle w:val="Table01Row"/>
            </w:pPr>
            <w:r>
              <w:t>3 Mar 2016</w:t>
            </w:r>
          </w:p>
        </w:tc>
        <w:tc>
          <w:p>
            <w:pPr>
              <w:pStyle w:val="Table01Row"/>
            </w:pPr>
            <w:r>
              <w:rPr/>
              <w:t xml:space="preserve">4 Mar 2016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13 May 2016 (not including 2015/030)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</w:t>
              <w:t>Pt. 6 Div. 2</w:t>
            </w:r>
          </w:p>
        </w:tc>
        <w:tc>
          <w:p>
            <w:pPr>
              <w:pStyle w:val="Table01Row"/>
            </w:pPr>
            <w:r>
              <w:t>2016/016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12 Oct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2016 p. 4531)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18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s. 3, 5, 10, 12‑16 &amp; 18‑25: 12 Nov 2016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11 Nov 2016 p. 5035);</w:t>
            </w:r>
          </w:p>
          <w:p>
            <w:pPr>
              <w:pStyle w:val="Table01Row"/>
            </w:pPr>
            <w:r>
              <w:rPr/>
              <w:t xml:space="preserve">s. 4, 6‑9, 11 &amp; 17: 21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(Auditing) Act 2017</w:t>
            </w:r>
          </w:p>
        </w:tc>
        <w:tc>
          <w:p>
            <w:pPr>
              <w:pStyle w:val="Table01Row"/>
            </w:pPr>
            <w:r>
              <w:t>2017/005</w:t>
            </w:r>
          </w:p>
        </w:tc>
        <w:tc>
          <w:p>
            <w:pPr>
              <w:pStyle w:val="Table01Row"/>
            </w:pPr>
            <w:r>
              <w:t>1 Sep 2017</w:t>
            </w:r>
          </w:p>
        </w:tc>
        <w:tc>
          <w:p>
            <w:pPr>
              <w:pStyle w:val="Table01Row"/>
            </w:pPr>
            <w:r>
              <w:rPr/>
              <w:t xml:space="preserve">s. 1 &amp; 2: 1 Sep 2017 (see s. 2(a));</w:t>
            </w:r>
          </w:p>
          <w:p>
            <w:pPr>
              <w:pStyle w:val="Table01Row"/>
            </w:pPr>
            <w:r>
              <w:rPr/>
              <w:t xml:space="preserve">Act other that s. 1, 2, 4(2) &amp; 7(2): 28 Oct 2017 (see s. 2(b) &amp; (c) &amp; </w:t>
            </w:r>
            <w:r>
              <w:rPr>
                <w:i/>
              </w:rPr>
              <w:t xml:space="preserve">Gazette</w:t>
            </w:r>
            <w:r>
              <w:rPr/>
              <w:t xml:space="preserve"> 27 Oct 2017 p. 5413);</w:t>
            </w:r>
          </w:p>
          <w:p>
            <w:pPr>
              <w:pStyle w:val="Table01Row"/>
            </w:pPr>
            <w:r>
              <w:rPr/>
              <w:t xml:space="preserve">s. 4(2) &amp; 7(2): 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12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(Suspension and Dismissal) Act 2018</w:t>
            </w:r>
          </w:p>
        </w:tc>
        <w:tc>
          <w:p>
            <w:pPr>
              <w:pStyle w:val="Table01Row"/>
            </w:pPr>
            <w:r>
              <w:t>2018/031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s. 1 &amp; 2: 19 Nov 2018 (see s. 2(a));</w:t>
            </w:r>
          </w:p>
          <w:p>
            <w:pPr>
              <w:pStyle w:val="Table01Row"/>
            </w:pPr>
            <w:r>
              <w:rPr/>
              <w:t xml:space="preserve">Act other than s. 1 &amp; 2: 20 Nov 2018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2019/016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5, 13‑17, 20, 22, 24‑44, 48‑51, 57, 61, 64‑68 &amp; 74): 6 Jul 2019 (see s. 2(c));</w:t>
            </w:r>
          </w:p>
          <w:p>
            <w:pPr>
              <w:pStyle w:val="Table01Row"/>
            </w:pPr>
            <w:r>
              <w:rPr/>
              <w:t xml:space="preserve">s. 15: 10 Aug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2019 p. 3019);</w:t>
            </w:r>
          </w:p>
          <w:p>
            <w:pPr>
              <w:pStyle w:val="Table01Row"/>
            </w:pPr>
            <w:r>
              <w:rPr/>
              <w:t xml:space="preserve">s. 61: 16 Sep 2019 (see.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2019 p. 3019);</w:t>
            </w:r>
          </w:p>
          <w:p>
            <w:pPr>
              <w:pStyle w:val="Table01Row"/>
            </w:pPr>
            <w:r>
              <w:rPr/>
              <w:t xml:space="preserve">s. 26‑38, 39(1), 40‑44, 67 &amp; 74(3): 19 Oct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Oct 2019 p. 3673);</w:t>
            </w:r>
          </w:p>
          <w:p>
            <w:pPr>
              <w:pStyle w:val="Table01Row"/>
            </w:pPr>
            <w:r>
              <w:rPr/>
              <w:t xml:space="preserve">s. 5, 13, 14, 16, 17, 20, 24, 57, 64, 65, 66, 68 &amp; 74(1) &amp; (2): 7 Nov 2020 (see s. 2(b) and SL 2020/212 cl. 2);</w:t>
            </w:r>
          </w:p>
          <w:p>
            <w:pPr>
              <w:pStyle w:val="Table01Row"/>
            </w:pPr>
            <w:r>
              <w:rPr/>
              <w:t xml:space="preserve">s. 22, 25 &amp; 48‑51: 3 Feb 2021 (see s. 2(b) and SL 2021/13 cl. 2);</w:t>
            </w:r>
          </w:p>
          <w:p>
            <w:pPr>
              <w:pStyle w:val="Table01Row"/>
            </w:pPr>
            <w:r>
              <w:rPr/>
              <w:t xml:space="preserve">s. 39(2):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(COVID‑19 Response) Act 2020</w:t>
            </w:r>
          </w:p>
        </w:tc>
        <w:tc>
          <w:p>
            <w:pPr>
              <w:pStyle w:val="Table01Row"/>
            </w:pPr>
            <w:r>
              <w:t>2020/017</w:t>
            </w:r>
          </w:p>
        </w:tc>
        <w:tc>
          <w:p>
            <w:pPr>
              <w:pStyle w:val="Table01Row"/>
            </w:pPr>
            <w:r>
              <w:t>20 Apr 2020</w:t>
            </w:r>
          </w:p>
        </w:tc>
        <w:tc>
          <w:p>
            <w:pPr>
              <w:pStyle w:val="Table01Row"/>
            </w:pPr>
            <w:r>
              <w:rPr/>
              <w:t xml:space="preserve">s. 1 &amp; 2: 20 Apr 2020 (see s. 2(a));</w:t>
            </w:r>
          </w:p>
          <w:p>
            <w:pPr>
              <w:pStyle w:val="Table01Row"/>
            </w:pPr>
            <w:r>
              <w:rPr/>
              <w:t xml:space="preserve">Act other than s. 1, 2 &amp; 5: 21 Apr 2020 (see s. 2(c));</w:t>
            </w:r>
          </w:p>
          <w:p>
            <w:pPr>
              <w:pStyle w:val="Table01Row"/>
            </w:pPr>
            <w:r>
              <w:rPr/>
              <w:t xml:space="preserve">s. 5: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4 Subdiv. 6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7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Constitutional and Electoral Legislation Amendment (Electoral Equality) Act 2021</w:t>
            </w:r>
            <w:r>
              <w:t xml:space="preserve"> </w:t>
              <w:t>s. 95</w:t>
            </w:r>
          </w:p>
        </w:tc>
        <w:tc>
          <w:p>
            <w:pPr>
              <w:pStyle w:val="Table01Row"/>
            </w:pPr>
            <w:r>
              <w:t>2021/020</w:t>
            </w:r>
          </w:p>
        </w:tc>
        <w:tc>
          <w:p>
            <w:pPr>
              <w:pStyle w:val="Table01Row"/>
            </w:pPr>
            <w:r>
              <w:t>24 Nov 2021</w:t>
            </w:r>
          </w:p>
        </w:tc>
        <w:tc>
          <w:p>
            <w:pPr>
              <w:pStyle w:val="Table01Row"/>
            </w:pPr>
            <w:r>
              <w:rPr/>
              <w:t xml:space="preserve">25 Nov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2022/021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7 Aug 2023 (see s. 2(b) and SL 2023/111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</w:t>
              <w:t>Pt. 2 Div. 2 Subdiv. 3</w:t>
            </w:r>
          </w:p>
        </w:tc>
        <w:tc>
          <w:p>
            <w:pPr>
              <w:pStyle w:val="Table01Row"/>
            </w:pPr>
            <w:r>
              <w:t>2022/033</w:t>
            </w:r>
          </w:p>
        </w:tc>
        <w:tc>
          <w:p>
            <w:pPr>
              <w:pStyle w:val="Table01Row"/>
            </w:pPr>
            <w:r>
              <w:t>21 Oct 2022</w:t>
            </w:r>
          </w:p>
        </w:tc>
        <w:tc>
          <w:p>
            <w:pPr>
              <w:pStyle w:val="Table01Row"/>
            </w:pPr>
            <w:r>
              <w:rPr/>
              <w:t xml:space="preserve">3 Nov 2022 (see s. 2(b) and SL 2022/175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2023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2023/011</w:t>
            </w:r>
          </w:p>
        </w:tc>
        <w:tc>
          <w:p>
            <w:pPr>
              <w:pStyle w:val="Table01Row"/>
            </w:pPr>
            <w:r>
              <w:t>18 May 2023</w:t>
            </w:r>
          </w:p>
        </w:tc>
        <w:tc>
          <w:p>
            <w:pPr>
              <w:pStyle w:val="Table01Row"/>
            </w:pPr>
            <w:r>
              <w:rPr/>
              <w:t xml:space="preserve">s. 3, 60, 86, 87 &amp; 99: 19 May 2023 (see s. 2(b));</w:t>
            </w:r>
          </w:p>
          <w:p>
            <w:pPr>
              <w:pStyle w:val="Table01Row"/>
            </w:pPr>
            <w:r>
              <w:rPr/>
              <w:t xml:space="preserve">s. 5(2) &amp; (4), 7‑11, 13‑16, 19(1)‑(3), 24 &amp; 89: 21 Jun 2023 (see s. 2(d) and SL 2023/77 cl. 2);</w:t>
            </w:r>
          </w:p>
          <w:p>
            <w:pPr>
              <w:pStyle w:val="Table01Row"/>
            </w:pPr>
            <w:r>
              <w:rPr/>
              <w:t xml:space="preserve">s. 4, 5(1) &amp; (3), 6, 12, 18, 19(4), 20, 21, 25‑28, 31(2) &amp; (3), 33‑39, 40(1) &amp; (2), 42‑54, 56, 57, 71, 76(2), 77(3), 88 &amp; 90‑98: 1 Jul 2023 (see s. 2(d) and SL 2023/92 cl. 2(a));</w:t>
            </w:r>
          </w:p>
          <w:p>
            <w:pPr>
              <w:pStyle w:val="Table01Row"/>
            </w:pPr>
            <w:r>
              <w:rPr/>
              <w:t xml:space="preserve">s. 58, 66, 70, 79(1) &amp; 82: 19 Oct 2023 (see s. 2(d) and SL 2023/157 cl. 2(a));</w:t>
            </w:r>
          </w:p>
          <w:p>
            <w:pPr>
              <w:pStyle w:val="Table01Row"/>
            </w:pPr>
            <w:r>
              <w:rPr/>
              <w:t xml:space="preserve">s. 17, 29, 30, 31(1), 32, 40(3), 41, 79(2) &amp; 80: 1 Jan 2024 (see s. 2(d) and SL 2023/92 cl. 2(b) &amp; SL 2023/157 cl. 2(b));</w:t>
            </w:r>
          </w:p>
          <w:p>
            <w:pPr>
              <w:pStyle w:val="Table01Row"/>
            </w:pPr>
            <w:r>
              <w:rPr/>
              <w:t xml:space="preserve">s. 23: 1 Jul 2024 (see s. 2(d) and SL 2023/92 cl. 2(c));</w:t>
            </w:r>
          </w:p>
          <w:p>
            <w:pPr>
              <w:pStyle w:val="Table01Row"/>
            </w:pPr>
            <w:r>
              <w:rPr/>
              <w:t xml:space="preserve">s. 22, 55, 59, 61‑65, 67‑69, 72‑75, 76(1), 77(1) &amp; (2), 78, 81 &amp; 83‑85: to be proclaimed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2023/030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1 Jul 2024 (see s. 2(c))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Order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Under the Local Government Act 1995 s. 10.3, modifications to s. 5.27, 5.28, 5.94, 6.2,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6.13, 6.33, 6.34, 6.35, 6.36, 6.45, 6.51 and 9.51 are prescribed in the Local Government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(COVID‑19 Response) Order 2020 (see SL 2020/57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8 May 2020)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Local Government Act 1995</vt:lpwstr>
  </property>
  <property pid="3" name="IDAct" fmtid="{D5CDD505-2E9C-101B-9397-08002B2CF9AE}">
    <vt:lpwstr>465</vt:lpwstr>
  </property>
  <property pid="4" name="ChangedDate" fmtid="{D5CDD505-2E9C-101B-9397-08002B2CF9AE}">
    <vt:lpwstr>20240105111758</vt:lpwstr>
  </property>
</Properties>
</file>