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Anglo‑Persian Oil Company Limited’s (Private) Act 1919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Anglo‑Persian Oil Company Limited’s (Private) Act 1919</w:t>
            </w:r>
          </w:p>
        </w:tc>
        <w:tc>
          <w:p>
            <w:pPr>
              <w:pStyle w:val="Table01Row"/>
            </w:pPr>
            <w:r>
              <w:t>1919 (10 Geo. V Prvt Act)</w:t>
            </w:r>
          </w:p>
        </w:tc>
        <w:tc>
          <w:p>
            <w:pPr>
              <w:pStyle w:val="Table01Row"/>
            </w:pPr>
            <w:r>
              <w:t>17 Dec 1919</w:t>
            </w:r>
          </w:p>
        </w:tc>
        <w:tc>
          <w:p>
            <w:pPr>
              <w:pStyle w:val="Table01Row"/>
            </w:pPr>
            <w:r>
              <w:rPr/>
              <w:t xml:space="preserve">17 Dec 1919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1925/008 (16 Geo. V No. 8)</w:t>
            </w:r>
          </w:p>
        </w:tc>
        <w:tc>
          <w:p>
            <w:pPr>
              <w:pStyle w:val="Table01Row"/>
            </w:pPr>
            <w:r>
              <w:t>24 Sep 1925</w:t>
            </w:r>
          </w:p>
        </w:tc>
        <w:tc>
          <w:p>
            <w:pPr>
              <w:pStyle w:val="Table01Row"/>
            </w:pPr>
            <w:r>
              <w:rPr/>
              <w:t xml:space="preserve">24 Sep 1925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Aug 2002 (not including 1925/008)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142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2016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Anglo-Persian Oil Company Limited's (Private) Act 1919</vt:lpwstr>
  </property>
  <property pid="3" name="IDAct" fmtid="{D5CDD505-2E9C-101B-9397-08002B2CF9AE}">
    <vt:lpwstr>46</vt:lpwstr>
  </property>
  <property pid="4" name="ChangedDate" fmtid="{D5CDD505-2E9C-101B-9397-08002B2CF9AE}">
    <vt:lpwstr>20230609154944</vt:lpwstr>
  </property>
</Properties>
</file>