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Metropolitan Region Scheme (Fremantle) Act 1994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Region Scheme (Fremantle) Act 1994</w:t>
            </w:r>
          </w:p>
        </w:tc>
        <w:tc>
          <w:p>
            <w:pPr>
              <w:pStyle w:val="Table01Row"/>
            </w:pPr>
            <w:r>
              <w:t>1994/044</w:t>
            </w:r>
          </w:p>
        </w:tc>
        <w:tc>
          <w:p>
            <w:pPr>
              <w:pStyle w:val="Table01Row"/>
            </w:pPr>
            <w:r>
              <w:t>22 Sep 1994</w:t>
            </w:r>
          </w:p>
        </w:tc>
        <w:tc>
          <w:p>
            <w:pPr>
              <w:pStyle w:val="Table01Row"/>
            </w:pPr>
            <w:r>
              <w:rPr/>
              <w:t xml:space="preserve">22 Sep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Metropolitan Region Scheme (Fremantle) Act 1994</vt:lpwstr>
  </property>
  <property pid="3" name="IDAct" fmtid="{D5CDD505-2E9C-101B-9397-08002B2CF9AE}">
    <vt:lpwstr>498</vt:lpwstr>
  </property>
  <property pid="4" name="ChangedDate" fmtid="{D5CDD505-2E9C-101B-9397-08002B2CF9AE}">
    <vt:lpwstr>20230613134443</vt:lpwstr>
  </property>
</Properties>
</file>