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Museum Act 1969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Museum Act 1969</w:t>
            </w:r>
          </w:p>
        </w:tc>
        <w:tc>
          <w:p>
            <w:pPr>
              <w:pStyle w:val="Table01Row"/>
            </w:pPr>
            <w:r>
              <w:t>1969/090</w:t>
            </w:r>
          </w:p>
        </w:tc>
        <w:tc>
          <w:p>
            <w:pPr>
              <w:pStyle w:val="Table01Row"/>
            </w:pPr>
            <w:r>
              <w:t>17 Nov 1969</w:t>
            </w:r>
          </w:p>
        </w:tc>
        <w:tc>
          <w:p>
            <w:pPr>
              <w:pStyle w:val="Table01Row"/>
            </w:pPr>
            <w:r>
              <w:rPr/>
              <w:t xml:space="preserve">19 Dec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1969 p. 4197)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Museum Act Amendment Act 1973</w:t>
            </w:r>
          </w:p>
        </w:tc>
        <w:tc>
          <w:p>
            <w:pPr>
              <w:pStyle w:val="Table01Row"/>
            </w:pPr>
            <w:r>
              <w:t>1973/065</w:t>
            </w:r>
          </w:p>
        </w:tc>
        <w:tc>
          <w:p>
            <w:pPr>
              <w:pStyle w:val="Table01Row"/>
            </w:pPr>
            <w:r>
              <w:t>28 Nov 1973</w:t>
            </w:r>
          </w:p>
        </w:tc>
        <w:tc>
          <w:p>
            <w:pPr>
              <w:pStyle w:val="Table01Row"/>
            </w:pPr>
            <w:r>
              <w:rPr/>
              <w:t xml:space="preserve">7 Dec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1973 p. 4480)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Museum Amendment Act 1984</w:t>
            </w:r>
          </w:p>
        </w:tc>
        <w:tc>
          <w:p>
            <w:pPr>
              <w:pStyle w:val="Table01Row"/>
            </w:pPr>
            <w:r>
              <w:t>1984/024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31 May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1987/075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16(9)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46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May 2007 (not including 2000/043)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Other Reference — 1973/066 Maritime Archaeology Act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Museum Act 1969</vt:lpwstr>
  </property>
  <property pid="3" name="IDAct" fmtid="{D5CDD505-2E9C-101B-9397-08002B2CF9AE}">
    <vt:lpwstr>533</vt:lpwstr>
  </property>
  <property pid="4" name="ChangedDate" fmtid="{D5CDD505-2E9C-101B-9397-08002B2CF9AE}">
    <vt:lpwstr>20220119162443</vt:lpwstr>
  </property>
</Properties>
</file>