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Nickel (Agnew) Agreement Act 1974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Nickel (Agnew) Agreement Act 1974</w:t>
            </w:r>
          </w:p>
        </w:tc>
        <w:tc>
          <w:p>
            <w:pPr>
              <w:pStyle w:val="Table01Row"/>
            </w:pPr>
            <w:r>
              <w:t>1974/081</w:t>
            </w:r>
          </w:p>
        </w:tc>
        <w:tc>
          <w:p>
            <w:pPr>
              <w:pStyle w:val="Table01Row"/>
            </w:pPr>
            <w:r>
              <w:t>10 Dec 1974</w:t>
            </w:r>
          </w:p>
        </w:tc>
        <w:tc>
          <w:p>
            <w:pPr>
              <w:pStyle w:val="Table01Row"/>
            </w:pPr>
            <w:r>
              <w:rPr/>
              <w:t xml:space="preserve">10 Dec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Nickel (Agnew) Agreement Act Amendment Act 1976</w:t>
            </w:r>
          </w:p>
        </w:tc>
        <w:tc>
          <w:p>
            <w:pPr>
              <w:pStyle w:val="Table01Row"/>
            </w:pPr>
            <w:r>
              <w:t>1976/098</w:t>
            </w:r>
          </w:p>
        </w:tc>
        <w:tc>
          <w:p>
            <w:pPr>
              <w:pStyle w:val="Table01Row"/>
            </w:pPr>
            <w:r>
              <w:t>12 Nov 1976</w:t>
            </w:r>
          </w:p>
        </w:tc>
        <w:tc>
          <w:p>
            <w:pPr>
              <w:pStyle w:val="Table01Row"/>
            </w:pPr>
            <w:r>
              <w:rPr/>
              <w:t xml:space="preserve">12 Nov 1976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Nickel (Agnew) Agreement Amendment Act 2023</w:t>
            </w:r>
          </w:p>
        </w:tc>
        <w:tc>
          <w:p>
            <w:pPr>
              <w:pStyle w:val="Table01Row"/>
            </w:pPr>
            <w:r>
              <w:t>2023/017</w:t>
            </w:r>
          </w:p>
        </w:tc>
        <w:tc>
          <w:p>
            <w:pPr>
              <w:pStyle w:val="Table01Row"/>
            </w:pPr>
            <w:r>
              <w:t>17 Aug 2023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2023 (see s. 2(a));</w:t>
            </w:r>
          </w:p>
          <w:p>
            <w:pPr>
              <w:pStyle w:val="Table01Row"/>
            </w:pPr>
            <w:r>
              <w:rPr/>
              <w:t xml:space="preserve">Act other than s. 1 &amp; 2: 18 Aug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Nickel (Agnew) Agreement Act 1974</vt:lpwstr>
  </property>
  <property pid="3" name="IDAct" fmtid="{D5CDD505-2E9C-101B-9397-08002B2CF9AE}">
    <vt:lpwstr>544</vt:lpwstr>
  </property>
  <property pid="4" name="ChangedDate" fmtid="{D5CDD505-2E9C-101B-9397-08002B2CF9AE}">
    <vt:lpwstr>20230609154944</vt:lpwstr>
  </property>
</Properties>
</file>