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Pawnbrokers and Second‑hand Dealers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</w:p>
        </w:tc>
        <w:tc>
          <w:p>
            <w:pPr>
              <w:pStyle w:val="Table01Row"/>
            </w:pPr>
            <w:r>
              <w:t>1994/088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s. 1 &amp; 2: 5 Jan 1995;</w:t>
            </w:r>
          </w:p>
          <w:p>
            <w:pPr>
              <w:pStyle w:val="Table01Row"/>
            </w:pPr>
            <w:r>
              <w:rPr/>
              <w:t xml:space="preserve">Act other than s. 1 &amp; 2: 1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1996 p. 1495)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61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2002/004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2002 p. 4151)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Dec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1 cl. 116 &amp; Sch. 2 cl. 37</w:t>
            </w:r>
          </w:p>
        </w:tc>
        <w:tc>
          <w:p>
            <w:pPr>
              <w:pStyle w:val="Table01Row"/>
            </w:pPr>
            <w:r>
              <w:t>2004/059 (as amended by 2008/002 s. 77(11) &amp; 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Sch. 1 cl. 116 (other than the amendment to s. 93(1)):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7128);</w:t>
            </w:r>
          </w:p>
          <w:p>
            <w:pPr>
              <w:pStyle w:val="Table01Row"/>
            </w:pPr>
            <w:r>
              <w:rPr/>
              <w:t xml:space="preserve">Sch. 1 cl. 116 (amendment to s. 93(1)) deleted by 2008/002 s. 77(11);</w:t>
            </w:r>
          </w:p>
          <w:p>
            <w:pPr>
              <w:pStyle w:val="Table01Row"/>
            </w:pPr>
            <w:r>
              <w:rPr/>
              <w:t xml:space="preserve">Sch. 2 cl. 37 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94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Amendment Act 2006</w:t>
            </w:r>
          </w:p>
        </w:tc>
        <w:tc>
          <w:p>
            <w:pPr>
              <w:pStyle w:val="Table01Row"/>
            </w:pPr>
            <w:r>
              <w:t>2006/046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s. 1 &amp; 2: 4 Oct 2006;</w:t>
            </w:r>
          </w:p>
          <w:p>
            <w:pPr>
              <w:pStyle w:val="Table01Row"/>
            </w:pPr>
            <w:r>
              <w:rPr/>
              <w:t xml:space="preserve">Act other than s. 1 &amp; 2: 1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Apr 2007 p. 1833)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Jun 2007 (not including 2004/059 Sch. 1 cl. 116 (amendments to s. 93(1)) and Sch. 2 cl. 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s. 130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44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Pawnbrokers and Second-hand Dealers Act 1994</vt:lpwstr>
  </property>
  <property pid="3" name="IDAct" fmtid="{D5CDD505-2E9C-101B-9397-08002B2CF9AE}">
    <vt:lpwstr>578</vt:lpwstr>
  </property>
  <property pid="4" name="ChangedDate" fmtid="{D5CDD505-2E9C-101B-9397-08002B2CF9AE}">
    <vt:lpwstr>20230129083134</vt:lpwstr>
  </property>
</Properties>
</file>