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Perth‑Joondalup Railway Act 1989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Perth‑Joondalup Railway Act 1989</w:t>
            </w:r>
          </w:p>
        </w:tc>
        <w:tc>
          <w:p>
            <w:pPr>
              <w:pStyle w:val="Table01Row"/>
            </w:pPr>
            <w:r>
              <w:t>1989/045</w:t>
            </w:r>
          </w:p>
        </w:tc>
        <w:tc>
          <w:p>
            <w:pPr>
              <w:pStyle w:val="Table01Row"/>
            </w:pPr>
            <w:r>
              <w:t>15 Jan 1990</w:t>
            </w:r>
          </w:p>
        </w:tc>
        <w:tc>
          <w:p>
            <w:pPr>
              <w:pStyle w:val="Table01Row"/>
            </w:pPr>
            <w:r>
              <w:rPr/>
              <w:t xml:space="preserve">15 Jan 1990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Apr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Perth-Joondalup Railway Act 1989</vt:lpwstr>
  </property>
  <property pid="3" name="IDAct" fmtid="{D5CDD505-2E9C-101B-9397-08002B2CF9AE}">
    <vt:lpwstr>590</vt:lpwstr>
  </property>
  <property pid="4" name="ChangedDate" fmtid="{D5CDD505-2E9C-101B-9397-08002B2CF9AE}">
    <vt:lpwstr>20230613134304</vt:lpwstr>
  </property>
</Properties>
</file>