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Australia and New Zealand Banking Group Limited (NMRB)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 and New Zealand Banking Group Limited (NMRB) Act 1991</w:t>
            </w:r>
          </w:p>
        </w:tc>
        <w:tc>
          <w:p>
            <w:pPr>
              <w:pStyle w:val="Table01Row"/>
            </w:pPr>
            <w:r>
              <w:t>1991/028</w:t>
            </w:r>
          </w:p>
        </w:tc>
        <w:tc>
          <w:p>
            <w:pPr>
              <w:pStyle w:val="Table01Row"/>
            </w:pPr>
            <w:r>
              <w:t>14 Nov 1991</w:t>
            </w:r>
          </w:p>
        </w:tc>
        <w:tc>
          <w:p>
            <w:pPr>
              <w:pStyle w:val="Table01Row"/>
            </w:pPr>
            <w:r>
              <w:rPr/>
              <w:t xml:space="preserve">14 Nov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Australia and New Zealand Banking Group Limited (NMRB) Act 1991</vt:lpwstr>
  </property>
  <property pid="3" name="IDAct" fmtid="{D5CDD505-2E9C-101B-9397-08002B2CF9AE}">
    <vt:lpwstr>60</vt:lpwstr>
  </property>
  <property pid="4" name="ChangedDate" fmtid="{D5CDD505-2E9C-101B-9397-08002B2CF9AE}">
    <vt:lpwstr>20230609150906</vt:lpwstr>
  </property>
</Properties>
</file>