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Presbyterian Church of Australia Act 1901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of Australia Act 1901</w:t>
            </w:r>
          </w:p>
        </w:tc>
        <w:tc>
          <w:p>
            <w:pPr>
              <w:pStyle w:val="Table01Row"/>
            </w:pPr>
            <w:r>
              <w:t>1901 (1 Edw. VII No. 4)</w:t>
            </w:r>
          </w:p>
        </w:tc>
        <w:tc>
          <w:p>
            <w:pPr>
              <w:pStyle w:val="Table01Row"/>
            </w:pPr>
            <w:r>
              <w:t>9 Oct 1901</w:t>
            </w:r>
          </w:p>
        </w:tc>
        <w:tc>
          <w:p>
            <w:pPr>
              <w:pStyle w:val="Table01Row"/>
            </w:pPr>
            <w:r>
              <w:rPr/>
              <w:t xml:space="preserve">8 Nov 1901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8 Nov 1901 p. 4483)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Presbyterian Church of Australia Act 1901</vt:lpwstr>
  </property>
  <property pid="3" name="IDAct" fmtid="{D5CDD505-2E9C-101B-9397-08002B2CF9AE}">
    <vt:lpwstr>626</vt:lpwstr>
  </property>
  <property pid="4" name="ChangedDate" fmtid="{D5CDD505-2E9C-101B-9397-08002B2CF9AE}">
    <vt:lpwstr>20210421010822</vt:lpwstr>
  </property>
</Properties>
</file>