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Taxation Administration Act 2003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Act 2003</w:t>
            </w:r>
          </w:p>
        </w:tc>
        <w:tc>
          <w:p>
            <w:pPr>
              <w:pStyle w:val="Table01Row"/>
            </w:pPr>
            <w:r>
              <w:t>2003/001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s. 1 &amp; 2: 20 Mar 2003;</w:t>
            </w:r>
          </w:p>
          <w:p>
            <w:pPr>
              <w:pStyle w:val="Table01Row"/>
            </w:pPr>
            <w:r>
              <w:rPr/>
              <w:t xml:space="preserve">Act other than s. 1, 2, 34(2)(c), (4) &amp; (5), 41(2) &amp; (4), 47(8), 48, 56(3), 57(3), 59 &amp; 127 and the definition of “non‑reviewable decision” in the Glossary: 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2383); </w:t>
            </w:r>
          </w:p>
          <w:p>
            <w:pPr>
              <w:pStyle w:val="Table01Row"/>
            </w:pPr>
            <w:r>
              <w:rPr/>
              <w:t xml:space="preserve">s. 127: 2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2003 p. 5137);</w:t>
            </w:r>
          </w:p>
          <w:p>
            <w:pPr>
              <w:pStyle w:val="Table01Row"/>
            </w:pPr>
            <w:r>
              <w:rPr/>
              <w:t xml:space="preserve">s. 34(5) repealed by 2004/055 s. 1171(3) prior to commencement;</w:t>
            </w:r>
          </w:p>
          <w:p>
            <w:pPr>
              <w:pStyle w:val="Table01Row"/>
            </w:pPr>
            <w:r>
              <w:rPr/>
              <w:t xml:space="preserve">s. 41 repealed by 2004/055 s. 1175;</w:t>
            </w:r>
          </w:p>
          <w:p>
            <w:pPr>
              <w:pStyle w:val="Table01Row"/>
            </w:pPr>
            <w:r>
              <w:rPr/>
              <w:t xml:space="preserve">the definition of “non‑reviewable decision” in the Glossary repealed by 2004/055 s. 1183 prior to commencement;</w:t>
            </w:r>
          </w:p>
          <w:p>
            <w:pPr>
              <w:pStyle w:val="Table01Row"/>
            </w:pPr>
            <w:r>
              <w:rPr/>
              <w:t xml:space="preserve">s. 34(2)(c) &amp; (4), 47(8), 48, 56(3), 57(3) &amp; 59: 2 Mar 2009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Feb 2009 p. 385)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Tax Review (Assessment) Act (No. 2) 2003</w:t>
            </w:r>
            <w:r>
              <w:t xml:space="preserve"> </w:t>
              <w:t>s. 95, 100 &amp; 108</w:t>
            </w:r>
          </w:p>
        </w:tc>
        <w:tc>
          <w:p>
            <w:pPr>
              <w:pStyle w:val="Table01Row"/>
            </w:pPr>
            <w:r>
              <w:t>2003/066</w:t>
            </w:r>
          </w:p>
        </w:tc>
        <w:tc>
          <w:p>
            <w:pPr>
              <w:pStyle w:val="Table01Row"/>
            </w:pPr>
            <w:r>
              <w:t>5 Dec 2003</w:t>
            </w:r>
          </w:p>
        </w:tc>
        <w:tc>
          <w:p>
            <w:pPr>
              <w:pStyle w:val="Table01Row"/>
            </w:pPr>
            <w:r>
              <w:rPr/>
              <w:t xml:space="preserve">s. 108: 1 Jul 2003 (see s. 2(5)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2383);</w:t>
            </w:r>
          </w:p>
          <w:p>
            <w:pPr>
              <w:pStyle w:val="Table01Row"/>
            </w:pPr>
            <w:r>
              <w:rPr/>
              <w:t xml:space="preserve">s. 95(1)‑(4) &amp; (5)(a): 1 Jan 2004 (see s. 2(1)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5721);</w:t>
            </w:r>
          </w:p>
          <w:p>
            <w:pPr>
              <w:pStyle w:val="Table01Row"/>
            </w:pPr>
            <w:r>
              <w:rPr/>
              <w:t xml:space="preserve">s. 100: 1 Jul 2004 (see s. 2(3));</w:t>
            </w:r>
          </w:p>
          <w:p>
            <w:pPr>
              <w:pStyle w:val="Table01Row"/>
            </w:pPr>
            <w:r>
              <w:rPr/>
              <w:t xml:space="preserve">s. 95(5)(b): 1 Jul 2004 (see s. 2(1)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21 May 2004 p. 1711)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and Repeal Act 2004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2004/012</w:t>
            </w:r>
          </w:p>
        </w:tc>
        <w:tc>
          <w:p>
            <w:pPr>
              <w:pStyle w:val="Table01Row"/>
            </w:pPr>
            <w:r>
              <w:t>29 Jun 2004</w:t>
            </w:r>
          </w:p>
        </w:tc>
        <w:tc>
          <w:p>
            <w:pPr>
              <w:pStyle w:val="Table01Row"/>
            </w:pPr>
            <w:r>
              <w:rPr/>
              <w:t xml:space="preserve">29 Jun 2004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the paragraph it sought to amend had been deleted by 2003/066 s. 100 prior to commencement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124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(Tax Relief) Act 2004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2004/082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8 Dec 2004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 (No. 2) 2005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2005/012</w:t>
            </w:r>
          </w:p>
        </w:tc>
        <w:tc>
          <w:p>
            <w:pPr>
              <w:pStyle w:val="Table01Row"/>
            </w:pPr>
            <w:r>
              <w:t>30 Aug 2005</w:t>
            </w:r>
          </w:p>
        </w:tc>
        <w:tc>
          <w:p>
            <w:pPr>
              <w:pStyle w:val="Table01Row"/>
            </w:pPr>
            <w:r>
              <w:rPr/>
              <w:t xml:space="preserve">30 Aug 2005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Oct 2005 (not including 2003/001 s. 34(2)(c), &amp; (4), 47(8), 48, 56(3), 57(3) &amp; 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184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166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(Assessment) Act 2007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2007/013</w:t>
            </w:r>
          </w:p>
        </w:tc>
        <w:tc>
          <w:p>
            <w:pPr>
              <w:pStyle w:val="Table01Row"/>
            </w:pPr>
            <w:r>
              <w:t>29 Jun 2007</w:t>
            </w:r>
          </w:p>
        </w:tc>
        <w:tc>
          <w:p>
            <w:pPr>
              <w:pStyle w:val="Table01Row"/>
            </w:pPr>
            <w:r>
              <w:rPr/>
              <w:t xml:space="preserve">30 Jun 2007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Sep 2007 (not including 2003/001 s. 34(2)(c), &amp; (4), 47(8), 48, 56(3), 57(3) &amp; 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94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1 May 2013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5 Feb 2013 p. 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Pt. 2 Div. 3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</w:t>
              <w:t>Pt. 2 Div. 1 &amp; 3 &amp; Pt. 3</w:t>
            </w:r>
          </w:p>
        </w:tc>
        <w:tc>
          <w:p>
            <w:pPr>
              <w:pStyle w:val="Table01Row"/>
            </w:pPr>
            <w:r>
              <w:t>2008/031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Pt. 2 Div. 1 &amp; Pt. 3 Div. 1 &amp; 2: 28 Jun 2008 (see s. 2(b));</w:t>
            </w:r>
          </w:p>
          <w:p>
            <w:pPr>
              <w:pStyle w:val="Table01Row"/>
            </w:pPr>
            <w:r>
              <w:rPr/>
              <w:t xml:space="preserve">Pt. 2 Div. 3: 1 Jul 2008 (see s. 2(c)(ii));</w:t>
            </w:r>
          </w:p>
          <w:p>
            <w:pPr>
              <w:pStyle w:val="Table01Row"/>
            </w:pPr>
            <w:r>
              <w:rPr/>
              <w:t xml:space="preserve">Pt. 3 Div. 3: 11 Oct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10 Oct 2008 p. 4539)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22 Aug 2008 (not including 2003/001 s. 34(2)(c), &amp; (4), 47(8), 48, 56(3), 57(3) &amp; 59), 2007/024, 2008/031 Pt. 3 Div. 3 &amp; 2007/024)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and Repeal Act 2010</w:t>
            </w:r>
            <w:r>
              <w:t xml:space="preserve"> </w:t>
              <w:t>Pt. 5 &amp; s. 30</w:t>
            </w:r>
          </w:p>
        </w:tc>
        <w:tc>
          <w:p>
            <w:pPr>
              <w:pStyle w:val="Table01Row"/>
            </w:pPr>
            <w:r>
              <w:t>2010/017</w:t>
            </w:r>
          </w:p>
        </w:tc>
        <w:tc>
          <w:p>
            <w:pPr>
              <w:pStyle w:val="Table01Row"/>
            </w:pPr>
            <w:r>
              <w:t>25 Jun 2010</w:t>
            </w:r>
          </w:p>
        </w:tc>
        <w:tc>
          <w:p>
            <w:pPr>
              <w:pStyle w:val="Table01Row"/>
            </w:pPr>
            <w:r>
              <w:rPr/>
              <w:t xml:space="preserve">26 Jun 2010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3 Dec 2010 (not including 2007/024)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48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2012/029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Heading to Pt. 8 &amp; s. 40 &amp; 42(4): 1 Jul 2009 (see s. 2(d));</w:t>
            </w:r>
          </w:p>
          <w:p>
            <w:pPr>
              <w:pStyle w:val="Table01Row"/>
            </w:pPr>
            <w:r>
              <w:rPr/>
              <w:t xml:space="preserve">s. 41, 42(1)‑(3), 43 &amp; 44: 4 Sep 2012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2013</w:t>
            </w:r>
            <w:r>
              <w:t xml:space="preserve"> </w:t>
              <w:t>Pt. 2 Div. 2 &amp; Pt. 3</w:t>
            </w:r>
          </w:p>
        </w:tc>
        <w:tc>
          <w:p>
            <w:pPr>
              <w:pStyle w:val="Table01Row"/>
            </w:pPr>
            <w:r>
              <w:t>2013/010</w:t>
            </w:r>
          </w:p>
        </w:tc>
        <w:tc>
          <w:p>
            <w:pPr>
              <w:pStyle w:val="Table01Row"/>
            </w:pPr>
            <w:r>
              <w:t>24 Sep 2013</w:t>
            </w:r>
          </w:p>
        </w:tc>
        <w:tc>
          <w:p>
            <w:pPr>
              <w:pStyle w:val="Table01Row"/>
            </w:pPr>
            <w:r>
              <w:rPr/>
              <w:t xml:space="preserve">25 Sep 2013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Electronic Conveyancing Act 2014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2014/002</w:t>
            </w:r>
          </w:p>
        </w:tc>
        <w:tc>
          <w:p>
            <w:pPr>
              <w:pStyle w:val="Table01Row"/>
            </w:pPr>
            <w:r>
              <w:t>24 Mar 2014</w:t>
            </w:r>
          </w:p>
        </w:tc>
        <w:tc>
          <w:p>
            <w:pPr>
              <w:pStyle w:val="Table01Row"/>
            </w:pPr>
            <w:r>
              <w:rPr/>
              <w:t xml:space="preserve">3 Jun 2014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30 May 2014 p. 1679)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Legislation Amendment Act (No. 2) 2015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2015/008</w:t>
            </w:r>
          </w:p>
        </w:tc>
        <w:tc>
          <w:p>
            <w:pPr>
              <w:pStyle w:val="Table01Row"/>
            </w:pPr>
            <w:r>
              <w:t>9 Mar 2015</w:t>
            </w:r>
          </w:p>
        </w:tc>
        <w:tc>
          <w:p>
            <w:pPr>
              <w:pStyle w:val="Table01Row"/>
            </w:pPr>
            <w:r>
              <w:rPr/>
              <w:t xml:space="preserve">10 Mar 2015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229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22 Apr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</w:t>
              <w:t>Pt. 14 Div. 2 Subdiv. 8</w:t>
            </w:r>
          </w:p>
        </w:tc>
        <w:tc>
          <w:p>
            <w:pPr>
              <w:pStyle w:val="Table01Row"/>
            </w:pPr>
            <w:r>
              <w:t>2018/026</w:t>
            </w:r>
          </w:p>
        </w:tc>
        <w:tc>
          <w:p>
            <w:pPr>
              <w:pStyle w:val="Table01Row"/>
            </w:pPr>
            <w:r>
              <w:t>30 Oct 2018</w:t>
            </w:r>
          </w:p>
        </w:tc>
        <w:tc>
          <w:p>
            <w:pPr>
              <w:pStyle w:val="Table01Row"/>
            </w:pPr>
            <w:r>
              <w:rPr/>
              <w:t xml:space="preserve">1 Apr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Feb 2019 p. 449‑50)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</w:t>
              <w:t>Pt. 8 Div. 1 Subdiv. 4</w:t>
            </w:r>
          </w:p>
        </w:tc>
        <w:tc>
          <w:p>
            <w:pPr>
              <w:pStyle w:val="Table01Row"/>
            </w:pPr>
            <w:r>
              <w:t>2018/037</w:t>
            </w:r>
          </w:p>
        </w:tc>
        <w:tc>
          <w:p>
            <w:pPr>
              <w:pStyle w:val="Table01Row"/>
            </w:pPr>
            <w:r>
              <w:t>12 Dec 2018</w:t>
            </w:r>
          </w:p>
        </w:tc>
        <w:tc>
          <w:p>
            <w:pPr>
              <w:pStyle w:val="Table01Row"/>
            </w:pPr>
            <w:r>
              <w:rPr/>
              <w:t xml:space="preserve">1 Jan 2019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Amendment Act 2019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2019/011</w:t>
            </w:r>
          </w:p>
        </w:tc>
        <w:tc>
          <w:p>
            <w:pPr>
              <w:pStyle w:val="Table01Row"/>
            </w:pPr>
            <w:r>
              <w:t>12 Jun 2019</w:t>
            </w:r>
          </w:p>
        </w:tc>
        <w:tc>
          <w:p>
            <w:pPr>
              <w:pStyle w:val="Table01Row"/>
            </w:pPr>
            <w:r>
              <w:rPr/>
              <w:t xml:space="preserve">13 Jun 2019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Finance Legislation Amendment (Emergency Relief) Act 2022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2022/001</w:t>
            </w:r>
          </w:p>
        </w:tc>
        <w:tc>
          <w:p>
            <w:pPr>
              <w:pStyle w:val="Table01Row"/>
            </w:pPr>
            <w:r>
              <w:t>21 Feb 2022</w:t>
            </w:r>
          </w:p>
        </w:tc>
        <w:tc>
          <w:p>
            <w:pPr>
              <w:pStyle w:val="Table01Row"/>
            </w:pPr>
            <w:r>
              <w:rPr/>
              <w:t xml:space="preserve">22 Feb 2022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</w:t>
              <w:t>Pt. 2 Div. 2 Subdiv. 6 &amp; Pt. 3 Div. 4</w:t>
            </w:r>
          </w:p>
        </w:tc>
        <w:tc>
          <w:p>
            <w:pPr>
              <w:pStyle w:val="Table01Row"/>
            </w:pPr>
            <w:r>
              <w:t>2022/033</w:t>
            </w:r>
          </w:p>
        </w:tc>
        <w:tc>
          <w:p>
            <w:pPr>
              <w:pStyle w:val="Table01Row"/>
            </w:pPr>
            <w:r>
              <w:t>21 Oct 2022</w:t>
            </w:r>
          </w:p>
        </w:tc>
        <w:tc>
          <w:p>
            <w:pPr>
              <w:pStyle w:val="Table01Row"/>
            </w:pPr>
            <w:r>
              <w:rPr/>
              <w:t xml:space="preserve">Pt. 2 Div. 2 Subdiv. 6: 3 Nov 2022 (see s. 2(b) and SL 2022/175 cl. 2);</w:t>
            </w:r>
          </w:p>
          <w:p>
            <w:pPr>
              <w:pStyle w:val="Table01Row"/>
            </w:pPr>
            <w:r>
              <w:rPr/>
              <w:t xml:space="preserve">Pt. 3 Div. 4: 3 Nov 2024 (see s. 2(c) and SL 2022/175 cl. 2)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Modifying Regulations and Notice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Under the Commonwealth Places (Mirror Taxes Administration) Act 1999: Commonwealth Places (Mirror Taxes Administration) Regulations 2007 Pt. 7 Div. 1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Under the Commonwealth Places (Mirror Taxes) Act 1998 (Cth): Commonwealth Places (Mirror Taxes) (Modification of Applied Laws (WA)) Notice 2007 (Cth) Pt. 7 Div. 1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Taxation Administration Act 2003</vt:lpwstr>
  </property>
  <property pid="3" name="IDAct" fmtid="{D5CDD505-2E9C-101B-9397-08002B2CF9AE}">
    <vt:lpwstr>6343</vt:lpwstr>
  </property>
  <property pid="4" name="ChangedDate" fmtid="{D5CDD505-2E9C-101B-9397-08002B2CF9AE}">
    <vt:lpwstr>20230127172005</vt:lpwstr>
  </property>
</Properties>
</file>