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Offshore Minerals (Registration Fees)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Offshore Minerals (Registration Fees) Act 2003</w:t>
            </w:r>
          </w:p>
        </w:tc>
        <w:tc>
          <w:p>
            <w:pPr>
              <w:pStyle w:val="Table01Row"/>
            </w:pPr>
            <w:r>
              <w:t>2003/011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6350)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Offshore Minerals (Registration Fees) Act 2003</vt:lpwstr>
  </property>
  <property pid="3" name="IDAct" fmtid="{D5CDD505-2E9C-101B-9397-08002B2CF9AE}">
    <vt:lpwstr>6353</vt:lpwstr>
  </property>
  <property pid="4" name="ChangedDate" fmtid="{D5CDD505-2E9C-101B-9397-08002B2CF9AE}">
    <vt:lpwstr>20240105111118</vt:lpwstr>
  </property>
</Properties>
</file>